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8AB36" w14:textId="3465652D" w:rsidR="00F52CA1" w:rsidRPr="00F74906" w:rsidRDefault="0002762B" w:rsidP="00F52CA1">
      <w:pPr>
        <w:pStyle w:val="PlainText"/>
        <w:tabs>
          <w:tab w:val="left" w:pos="5860"/>
        </w:tabs>
        <w:spacing w:line="440" w:lineRule="exact"/>
        <w:contextualSpacing/>
        <w:rPr>
          <w:rFonts w:ascii="Garamond" w:hAnsi="Garamond"/>
          <w:b/>
          <w:sz w:val="24"/>
          <w:szCs w:val="24"/>
          <w:lang w:eastAsia="zh-CN"/>
        </w:rPr>
      </w:pPr>
      <w:bookmarkStart w:id="0" w:name="_GoBack"/>
      <w:bookmarkEnd w:id="0"/>
      <w:r>
        <w:rPr>
          <w:rFonts w:ascii="Garamond" w:hAnsi="Garamond"/>
          <w:b/>
          <w:sz w:val="24"/>
          <w:szCs w:val="24"/>
          <w:lang w:eastAsia="zh-CN"/>
        </w:rPr>
        <w:t>Dialogue and Joint Attention: A</w:t>
      </w:r>
      <w:r w:rsidR="00F52CA1">
        <w:rPr>
          <w:rFonts w:ascii="Garamond" w:hAnsi="Garamond"/>
          <w:b/>
          <w:sz w:val="24"/>
          <w:szCs w:val="24"/>
          <w:lang w:eastAsia="zh-CN"/>
        </w:rPr>
        <w:t xml:space="preserve"> </w:t>
      </w:r>
      <w:r>
        <w:rPr>
          <w:rFonts w:ascii="Garamond" w:hAnsi="Garamond"/>
          <w:b/>
          <w:sz w:val="24"/>
          <w:szCs w:val="24"/>
          <w:lang w:eastAsia="zh-CN"/>
        </w:rPr>
        <w:t xml:space="preserve">Foundational </w:t>
      </w:r>
      <w:r w:rsidR="00F52CA1">
        <w:rPr>
          <w:rFonts w:ascii="Garamond" w:hAnsi="Garamond"/>
          <w:b/>
          <w:sz w:val="24"/>
          <w:szCs w:val="24"/>
          <w:lang w:eastAsia="zh-CN"/>
        </w:rPr>
        <w:t>Hermeneut</w:t>
      </w:r>
      <w:r w:rsidR="008E0BAD">
        <w:rPr>
          <w:rFonts w:ascii="Garamond" w:hAnsi="Garamond"/>
          <w:b/>
          <w:sz w:val="24"/>
          <w:szCs w:val="24"/>
          <w:lang w:eastAsia="zh-CN"/>
        </w:rPr>
        <w:t>ical Response to Yang Huilin’s “</w:t>
      </w:r>
      <w:r w:rsidR="00F52CA1">
        <w:rPr>
          <w:rFonts w:ascii="Garamond" w:hAnsi="Garamond" w:hint="eastAsia"/>
          <w:b/>
          <w:sz w:val="24"/>
          <w:szCs w:val="24"/>
          <w:lang w:eastAsia="zh-CN"/>
        </w:rPr>
        <w:t>Matteo Ricci and Michel Foucault</w:t>
      </w:r>
      <w:r w:rsidR="00F52CA1">
        <w:rPr>
          <w:rFonts w:ascii="Garamond" w:hAnsi="Garamond"/>
          <w:b/>
          <w:sz w:val="24"/>
          <w:szCs w:val="24"/>
          <w:lang w:eastAsia="zh-CN"/>
        </w:rPr>
        <w:t>’</w:t>
      </w:r>
      <w:r w:rsidR="00F52CA1">
        <w:rPr>
          <w:rFonts w:ascii="Garamond" w:hAnsi="Garamond" w:hint="eastAsia"/>
          <w:b/>
          <w:sz w:val="24"/>
          <w:szCs w:val="24"/>
          <w:lang w:eastAsia="zh-CN"/>
        </w:rPr>
        <w:t>s Reading of Epictetus</w:t>
      </w:r>
      <w:r w:rsidR="00F52CA1">
        <w:rPr>
          <w:rFonts w:ascii="Garamond" w:hAnsi="Garamond"/>
          <w:b/>
          <w:sz w:val="24"/>
          <w:szCs w:val="24"/>
          <w:lang w:eastAsia="zh-CN"/>
        </w:rPr>
        <w:t xml:space="preserve">:  A </w:t>
      </w:r>
      <w:r w:rsidR="00F52CA1">
        <w:rPr>
          <w:rFonts w:ascii="Garamond" w:hAnsi="Garamond" w:hint="eastAsia"/>
          <w:b/>
          <w:sz w:val="24"/>
          <w:szCs w:val="24"/>
          <w:lang w:eastAsia="zh-CN"/>
        </w:rPr>
        <w:t>Quest</w:t>
      </w:r>
      <w:r w:rsidR="00F52CA1">
        <w:rPr>
          <w:rFonts w:ascii="Garamond" w:hAnsi="Garamond"/>
          <w:b/>
          <w:sz w:val="24"/>
          <w:szCs w:val="24"/>
          <w:lang w:eastAsia="zh-CN"/>
        </w:rPr>
        <w:t xml:space="preserve"> of </w:t>
      </w:r>
      <w:r w:rsidR="008E0BAD">
        <w:rPr>
          <w:rFonts w:ascii="Garamond" w:hAnsi="Garamond"/>
          <w:b/>
          <w:sz w:val="24"/>
          <w:szCs w:val="24"/>
          <w:lang w:eastAsia="zh-CN"/>
        </w:rPr>
        <w:t>‘</w:t>
      </w:r>
      <w:r w:rsidR="00F52CA1" w:rsidRPr="00F51DA0">
        <w:rPr>
          <w:rFonts w:ascii="Garamond" w:hAnsi="Garamond" w:hint="eastAsia"/>
          <w:b/>
          <w:i/>
          <w:sz w:val="24"/>
          <w:szCs w:val="24"/>
          <w:lang w:eastAsia="zh-CN"/>
        </w:rPr>
        <w:t>Zhi</w:t>
      </w:r>
      <w:r w:rsidR="008E0BAD">
        <w:rPr>
          <w:rFonts w:ascii="Garamond" w:hAnsi="Garamond"/>
          <w:b/>
          <w:sz w:val="24"/>
          <w:szCs w:val="24"/>
          <w:lang w:eastAsia="zh-CN"/>
        </w:rPr>
        <w:t>’</w:t>
      </w:r>
      <w:r w:rsidR="00F52CA1">
        <w:rPr>
          <w:rFonts w:ascii="Garamond" w:hAnsi="Garamond" w:hint="eastAsia"/>
          <w:b/>
          <w:sz w:val="24"/>
          <w:szCs w:val="24"/>
          <w:lang w:eastAsia="zh-CN"/>
        </w:rPr>
        <w:t xml:space="preserve"> (</w:t>
      </w:r>
      <w:r w:rsidR="00F52CA1">
        <w:rPr>
          <w:rFonts w:ascii="Garamond" w:hAnsi="Garamond" w:hint="eastAsia"/>
          <w:b/>
          <w:sz w:val="24"/>
          <w:szCs w:val="24"/>
          <w:lang w:eastAsia="zh-CN"/>
        </w:rPr>
        <w:t>知</w:t>
      </w:r>
      <w:r w:rsidR="00F52CA1">
        <w:rPr>
          <w:rFonts w:ascii="Garamond" w:hAnsi="Garamond"/>
          <w:b/>
          <w:sz w:val="24"/>
          <w:szCs w:val="24"/>
          <w:lang w:eastAsia="zh-CN"/>
        </w:rPr>
        <w:t>Knowing</w:t>
      </w:r>
      <w:r w:rsidR="00F52CA1">
        <w:rPr>
          <w:rFonts w:ascii="Garamond" w:hAnsi="Garamond" w:hint="eastAsia"/>
          <w:b/>
          <w:sz w:val="24"/>
          <w:szCs w:val="24"/>
          <w:lang w:eastAsia="zh-CN"/>
        </w:rPr>
        <w:t xml:space="preserve">) and </w:t>
      </w:r>
      <w:r w:rsidR="008E0BAD">
        <w:rPr>
          <w:rFonts w:ascii="Garamond" w:hAnsi="Garamond"/>
          <w:b/>
          <w:sz w:val="24"/>
          <w:szCs w:val="24"/>
          <w:lang w:eastAsia="zh-CN"/>
        </w:rPr>
        <w:t>‘</w:t>
      </w:r>
      <w:r w:rsidR="00F52CA1" w:rsidRPr="00F51DA0">
        <w:rPr>
          <w:rFonts w:ascii="Garamond" w:hAnsi="Garamond"/>
          <w:b/>
          <w:i/>
          <w:sz w:val="24"/>
          <w:szCs w:val="24"/>
          <w:lang w:eastAsia="zh-CN"/>
        </w:rPr>
        <w:t>Xing</w:t>
      </w:r>
      <w:r w:rsidR="008E0BAD">
        <w:rPr>
          <w:rFonts w:ascii="Garamond" w:hAnsi="Garamond"/>
          <w:b/>
          <w:sz w:val="24"/>
          <w:szCs w:val="24"/>
          <w:lang w:eastAsia="zh-CN"/>
        </w:rPr>
        <w:t>’</w:t>
      </w:r>
      <w:r w:rsidR="00F52CA1">
        <w:rPr>
          <w:rFonts w:ascii="Garamond" w:hAnsi="Garamond" w:hint="eastAsia"/>
          <w:b/>
          <w:sz w:val="24"/>
          <w:szCs w:val="24"/>
          <w:lang w:eastAsia="zh-CN"/>
        </w:rPr>
        <w:t xml:space="preserve"> (</w:t>
      </w:r>
      <w:r w:rsidR="00F52CA1">
        <w:rPr>
          <w:rFonts w:ascii="Garamond" w:hAnsi="Garamond" w:hint="eastAsia"/>
          <w:b/>
          <w:sz w:val="24"/>
          <w:szCs w:val="24"/>
          <w:lang w:eastAsia="zh-CN"/>
        </w:rPr>
        <w:t>行</w:t>
      </w:r>
      <w:r w:rsidR="00F52CA1">
        <w:rPr>
          <w:rFonts w:ascii="Garamond" w:hAnsi="Garamond" w:hint="eastAsia"/>
          <w:b/>
          <w:sz w:val="24"/>
          <w:szCs w:val="24"/>
          <w:lang w:eastAsia="zh-CN"/>
        </w:rPr>
        <w:t>Application)</w:t>
      </w:r>
      <w:r w:rsidR="000F7E33">
        <w:rPr>
          <w:rFonts w:ascii="Garamond" w:hAnsi="Garamond"/>
          <w:b/>
          <w:sz w:val="24"/>
          <w:szCs w:val="24"/>
          <w:lang w:eastAsia="zh-CN"/>
        </w:rPr>
        <w:t>”</w:t>
      </w:r>
    </w:p>
    <w:p w14:paraId="5AEFA345" w14:textId="77777777" w:rsidR="00F52CA1" w:rsidRDefault="00F52CA1"/>
    <w:p w14:paraId="3657619D" w14:textId="77777777" w:rsidR="00F52CA1" w:rsidRDefault="00F52CA1"/>
    <w:p w14:paraId="6F9DF98F" w14:textId="051711EF" w:rsidR="00E21F2B" w:rsidRDefault="00431FD7">
      <w:r>
        <w:t xml:space="preserve">The questions raised by </w:t>
      </w:r>
      <w:proofErr w:type="spellStart"/>
      <w:r>
        <w:t>Prof.</w:t>
      </w:r>
      <w:proofErr w:type="spellEnd"/>
      <w:r>
        <w:t xml:space="preserve"> Yang in his study of the symmetry or parallel between the use of Epictetus’ </w:t>
      </w:r>
      <w:proofErr w:type="spellStart"/>
      <w:r>
        <w:rPr>
          <w:i/>
        </w:rPr>
        <w:t>Ench</w:t>
      </w:r>
      <w:r w:rsidR="0070713A">
        <w:rPr>
          <w:i/>
        </w:rPr>
        <w:t>e</w:t>
      </w:r>
      <w:r w:rsidRPr="00431FD7">
        <w:rPr>
          <w:i/>
        </w:rPr>
        <w:t>iridion</w:t>
      </w:r>
      <w:proofErr w:type="spellEnd"/>
      <w:r>
        <w:t xml:space="preserve"> by Matteo Ricci and by Michel Foucault </w:t>
      </w:r>
      <w:r w:rsidR="009149B1">
        <w:t xml:space="preserve">respectively </w:t>
      </w:r>
      <w:r>
        <w:t xml:space="preserve">potentially go </w:t>
      </w:r>
      <w:r w:rsidR="00F52CA1">
        <w:t xml:space="preserve">far </w:t>
      </w:r>
      <w:r>
        <w:t>beyond questions of history.</w:t>
      </w:r>
      <w:r w:rsidR="00B7796C">
        <w:rPr>
          <w:rStyle w:val="FootnoteReference"/>
        </w:rPr>
        <w:footnoteReference w:id="1"/>
      </w:r>
      <w:r>
        <w:t xml:space="preserve"> </w:t>
      </w:r>
      <w:r w:rsidR="00586CC5">
        <w:t xml:space="preserve">We are concerned here not just with </w:t>
      </w:r>
      <w:r w:rsidR="006806A4">
        <w:t xml:space="preserve">issues </w:t>
      </w:r>
      <w:r w:rsidR="00586CC5">
        <w:t xml:space="preserve">of transmission and influence but also with the appearance of </w:t>
      </w:r>
      <w:r w:rsidR="008E43B6">
        <w:t xml:space="preserve">significant, </w:t>
      </w:r>
      <w:r w:rsidR="00586CC5">
        <w:t>underlying</w:t>
      </w:r>
      <w:r w:rsidR="008E43B6">
        <w:t>,</w:t>
      </w:r>
      <w:r w:rsidR="00586CC5">
        <w:t xml:space="preserve"> hermeneutical structures</w:t>
      </w:r>
      <w:r w:rsidR="00F52CA1">
        <w:t xml:space="preserve"> which concern the nature and possibility of inter-cultural dialogue</w:t>
      </w:r>
      <w:r w:rsidR="00697870">
        <w:t xml:space="preserve">. </w:t>
      </w:r>
      <w:r w:rsidR="009D2E8B">
        <w:t>Ricci</w:t>
      </w:r>
      <w:r w:rsidR="009149B1">
        <w:t xml:space="preserve"> </w:t>
      </w:r>
      <w:r w:rsidR="002B3D4D">
        <w:t xml:space="preserve">makes use of the Stoic </w:t>
      </w:r>
      <w:r w:rsidR="009D2E8B">
        <w:t>Epictetus</w:t>
      </w:r>
      <w:r w:rsidR="009149B1">
        <w:t xml:space="preserve"> </w:t>
      </w:r>
      <w:r w:rsidR="009D2E8B">
        <w:t xml:space="preserve">as a Christian missionary working in </w:t>
      </w:r>
      <w:r w:rsidR="0091451F">
        <w:t>a Chinese context</w:t>
      </w:r>
      <w:r w:rsidR="009D2E8B">
        <w:t xml:space="preserve">, </w:t>
      </w:r>
      <w:r w:rsidR="009149B1">
        <w:t xml:space="preserve">while </w:t>
      </w:r>
      <w:r w:rsidR="00687C76">
        <w:t>Foucault</w:t>
      </w:r>
      <w:r w:rsidR="009D2E8B">
        <w:t xml:space="preserve"> </w:t>
      </w:r>
      <w:r w:rsidR="008904B5">
        <w:t xml:space="preserve">makes use of </w:t>
      </w:r>
      <w:r w:rsidR="0002762B">
        <w:t xml:space="preserve">his work </w:t>
      </w:r>
      <w:r w:rsidR="008904B5">
        <w:t xml:space="preserve">and person (Epictetus was born into slavery) </w:t>
      </w:r>
      <w:r w:rsidR="009D2E8B">
        <w:t xml:space="preserve">from the perspective of a contemporary philosophical </w:t>
      </w:r>
      <w:r w:rsidR="00F52CA1">
        <w:t xml:space="preserve">agenda of </w:t>
      </w:r>
      <w:r w:rsidR="002B3D4D">
        <w:t>concern with “</w:t>
      </w:r>
      <w:r w:rsidR="009149B1">
        <w:t xml:space="preserve">care of </w:t>
      </w:r>
      <w:r w:rsidR="002B3D4D">
        <w:t>self”</w:t>
      </w:r>
      <w:r w:rsidR="00F52CA1">
        <w:t xml:space="preserve">, with its historical </w:t>
      </w:r>
      <w:r w:rsidR="009D2E8B">
        <w:t>Christian associations.</w:t>
      </w:r>
      <w:r w:rsidR="00F17002">
        <w:rPr>
          <w:rStyle w:val="FootnoteReference"/>
        </w:rPr>
        <w:footnoteReference w:id="2"/>
      </w:r>
      <w:r w:rsidR="009D2E8B">
        <w:t xml:space="preserve"> </w:t>
      </w:r>
      <w:r w:rsidR="0002762B">
        <w:t xml:space="preserve">Foucault is motivated by  anti-Cartesian motivations which want to affirm the possibility of a truly transformational self. </w:t>
      </w:r>
      <w:r w:rsidR="0002030C">
        <w:t>B</w:t>
      </w:r>
      <w:r w:rsidR="00E21F2B">
        <w:t xml:space="preserve">oth </w:t>
      </w:r>
      <w:r w:rsidR="00497499">
        <w:t>Ricci and Foucault have a parallel co</w:t>
      </w:r>
      <w:r w:rsidR="00F52CA1">
        <w:t xml:space="preserve">mmitment to </w:t>
      </w:r>
      <w:r w:rsidR="00497499">
        <w:t>exploring power</w:t>
      </w:r>
      <w:r w:rsidR="00076320">
        <w:t xml:space="preserve">fully integrated </w:t>
      </w:r>
      <w:r w:rsidR="002B3D4D">
        <w:t>modes of “practice”, “acts” or “applications”</w:t>
      </w:r>
      <w:r w:rsidR="00497499">
        <w:t xml:space="preserve">.  </w:t>
      </w:r>
      <w:r w:rsidR="00076320">
        <w:t xml:space="preserve">For the former, perhaps under the influence of Wang </w:t>
      </w:r>
      <w:proofErr w:type="spellStart"/>
      <w:r w:rsidR="00076320">
        <w:t>Yangming</w:t>
      </w:r>
      <w:proofErr w:type="spellEnd"/>
      <w:r w:rsidR="00076320">
        <w:t xml:space="preserve">, such </w:t>
      </w:r>
      <w:r w:rsidR="002B3D4D">
        <w:t>“</w:t>
      </w:r>
      <w:proofErr w:type="spellStart"/>
      <w:r w:rsidR="002B3D4D">
        <w:t>enactivism</w:t>
      </w:r>
      <w:proofErr w:type="spellEnd"/>
      <w:r w:rsidR="002B3D4D">
        <w:t>” or “</w:t>
      </w:r>
      <w:r w:rsidR="00076320">
        <w:t>non-dualism</w:t>
      </w:r>
      <w:r w:rsidR="002B3D4D">
        <w:t>”</w:t>
      </w:r>
      <w:r w:rsidR="00076320">
        <w:t xml:space="preserve"> (to use our modern word</w:t>
      </w:r>
      <w:r w:rsidR="00F52CA1">
        <w:t>s</w:t>
      </w:r>
      <w:r w:rsidR="00076320">
        <w:t xml:space="preserve">) </w:t>
      </w:r>
      <w:r w:rsidR="008904B5">
        <w:t xml:space="preserve">appeared to </w:t>
      </w:r>
      <w:r w:rsidR="00076320">
        <w:t xml:space="preserve">recommend itself to Ricci’s Confucian audience. Foucault, on the other hand, is </w:t>
      </w:r>
      <w:r w:rsidR="008904B5">
        <w:t xml:space="preserve">concerned with the </w:t>
      </w:r>
      <w:r w:rsidR="00035D85">
        <w:t>str</w:t>
      </w:r>
      <w:r w:rsidR="008904B5">
        <w:t xml:space="preserve">ucture of our freedom. He </w:t>
      </w:r>
      <w:r w:rsidR="00035D85">
        <w:t xml:space="preserve">argues that </w:t>
      </w:r>
      <w:proofErr w:type="spellStart"/>
      <w:r w:rsidR="00035D85">
        <w:t>Cartesianism</w:t>
      </w:r>
      <w:proofErr w:type="spellEnd"/>
      <w:r w:rsidR="00035D85">
        <w:t xml:space="preserve"> offers a transformational account of the self only in terms of our increasing approximation or assimilation into the observational third person perspective of science</w:t>
      </w:r>
      <w:r w:rsidR="00AF69BB">
        <w:t>. This</w:t>
      </w:r>
      <w:r w:rsidR="00921FC5">
        <w:t xml:space="preserve"> is a caricature of the transformation that should take place through </w:t>
      </w:r>
      <w:r w:rsidR="006359C7">
        <w:t xml:space="preserve">the pursuit of </w:t>
      </w:r>
      <w:r w:rsidR="00921FC5">
        <w:t>truth: for these conditi</w:t>
      </w:r>
      <w:r w:rsidR="002B3D4D">
        <w:t>ons “</w:t>
      </w:r>
      <w:r w:rsidR="00921FC5">
        <w:t>do not concern the subject in his being; they only concern the individual in his concrete existence, and not the s</w:t>
      </w:r>
      <w:r w:rsidR="002B3D4D">
        <w:t>tructure of the subject as such”</w:t>
      </w:r>
      <w:r w:rsidR="00921FC5">
        <w:t>.</w:t>
      </w:r>
      <w:r w:rsidR="00921FC5">
        <w:rPr>
          <w:rStyle w:val="FootnoteReference"/>
        </w:rPr>
        <w:footnoteReference w:id="3"/>
      </w:r>
      <w:r w:rsidR="00921FC5">
        <w:t xml:space="preserve">  Here the truth cannot set us free.</w:t>
      </w:r>
    </w:p>
    <w:p w14:paraId="2813ABD0" w14:textId="77777777" w:rsidR="00FA474A" w:rsidRDefault="00FA474A"/>
    <w:p w14:paraId="15B31C50" w14:textId="672E9755" w:rsidR="00FA474A" w:rsidRDefault="002B3D4D">
      <w:r>
        <w:t>Non-Speaking as “a meaning structure”</w:t>
      </w:r>
    </w:p>
    <w:p w14:paraId="30DCE076" w14:textId="185B1604" w:rsidR="007D7B97" w:rsidRDefault="000E3B7C">
      <w:pPr>
        <w:rPr>
          <w:lang w:eastAsia="zh-CN"/>
        </w:rPr>
      </w:pPr>
      <w:r w:rsidRPr="00A05792">
        <w:t xml:space="preserve">Drawing on the force of the Chinese principle that </w:t>
      </w:r>
      <w:r w:rsidR="002B3D4D">
        <w:rPr>
          <w:lang w:eastAsia="zh-CN"/>
        </w:rPr>
        <w:t>“</w:t>
      </w:r>
      <w:r w:rsidRPr="00A05792">
        <w:rPr>
          <w:lang w:eastAsia="zh-CN"/>
        </w:rPr>
        <w:t>Substance (</w:t>
      </w:r>
      <w:proofErr w:type="spellStart"/>
      <w:r w:rsidRPr="00A05792">
        <w:rPr>
          <w:i/>
          <w:lang w:eastAsia="zh-CN"/>
        </w:rPr>
        <w:t>ti</w:t>
      </w:r>
      <w:proofErr w:type="spellEnd"/>
      <w:r w:rsidRPr="00A05792">
        <w:rPr>
          <w:lang w:eastAsia="zh-CN"/>
        </w:rPr>
        <w:t>) and Embodiment (</w:t>
      </w:r>
      <w:proofErr w:type="spellStart"/>
      <w:r w:rsidRPr="00A05792">
        <w:rPr>
          <w:i/>
          <w:lang w:eastAsia="zh-CN"/>
        </w:rPr>
        <w:t>yong</w:t>
      </w:r>
      <w:proofErr w:type="spellEnd"/>
      <w:r w:rsidR="002B3D4D">
        <w:rPr>
          <w:lang w:eastAsia="zh-CN"/>
        </w:rPr>
        <w:t xml:space="preserve">) share one origin” </w:t>
      </w:r>
      <w:r w:rsidRPr="00A05792">
        <w:rPr>
          <w:lang w:eastAsia="zh-CN"/>
        </w:rPr>
        <w:t>(</w:t>
      </w:r>
      <w:proofErr w:type="spellStart"/>
      <w:r w:rsidRPr="00A05792">
        <w:rPr>
          <w:i/>
          <w:lang w:eastAsia="zh-CN"/>
        </w:rPr>
        <w:t>ti</w:t>
      </w:r>
      <w:proofErr w:type="spellEnd"/>
      <w:r w:rsidRPr="00A05792">
        <w:rPr>
          <w:i/>
          <w:lang w:eastAsia="zh-CN"/>
        </w:rPr>
        <w:t xml:space="preserve"> </w:t>
      </w:r>
      <w:proofErr w:type="spellStart"/>
      <w:r w:rsidRPr="00A05792">
        <w:rPr>
          <w:i/>
          <w:lang w:eastAsia="zh-CN"/>
        </w:rPr>
        <w:t>yong</w:t>
      </w:r>
      <w:proofErr w:type="spellEnd"/>
      <w:r w:rsidRPr="00A05792">
        <w:rPr>
          <w:i/>
          <w:lang w:eastAsia="zh-CN"/>
        </w:rPr>
        <w:t xml:space="preserve"> </w:t>
      </w:r>
      <w:proofErr w:type="spellStart"/>
      <w:r w:rsidRPr="00A05792">
        <w:rPr>
          <w:i/>
          <w:lang w:eastAsia="zh-CN"/>
        </w:rPr>
        <w:t>yi</w:t>
      </w:r>
      <w:proofErr w:type="spellEnd"/>
      <w:r w:rsidRPr="00A05792">
        <w:rPr>
          <w:i/>
          <w:lang w:eastAsia="zh-CN"/>
        </w:rPr>
        <w:t xml:space="preserve"> yuan </w:t>
      </w:r>
      <w:r w:rsidRPr="00A05792">
        <w:rPr>
          <w:lang w:eastAsia="zh-CN"/>
        </w:rPr>
        <w:t xml:space="preserve">体用一源), which </w:t>
      </w:r>
      <w:r w:rsidR="00F57065" w:rsidRPr="00A05792">
        <w:rPr>
          <w:lang w:eastAsia="zh-CN"/>
        </w:rPr>
        <w:t>m</w:t>
      </w:r>
      <w:r w:rsidR="001316A4">
        <w:rPr>
          <w:lang w:eastAsia="zh-CN"/>
        </w:rPr>
        <w:t xml:space="preserve">ay have influenced Ricci, </w:t>
      </w:r>
      <w:r w:rsidR="00F57065" w:rsidRPr="00A05792">
        <w:rPr>
          <w:lang w:eastAsia="zh-CN"/>
        </w:rPr>
        <w:t>Yang argues</w:t>
      </w:r>
      <w:r w:rsidR="00F03E01" w:rsidRPr="00A05792">
        <w:rPr>
          <w:lang w:eastAsia="zh-CN"/>
        </w:rPr>
        <w:t xml:space="preserve"> that what comes into view here </w:t>
      </w:r>
      <w:r w:rsidR="003862FA" w:rsidRPr="00A05792">
        <w:rPr>
          <w:lang w:eastAsia="zh-CN"/>
        </w:rPr>
        <w:t xml:space="preserve">is </w:t>
      </w:r>
      <w:r w:rsidR="0002030C">
        <w:rPr>
          <w:lang w:eastAsia="zh-CN"/>
        </w:rPr>
        <w:t>not just contained in the term “application”</w:t>
      </w:r>
      <w:r w:rsidR="002B3D4D">
        <w:rPr>
          <w:lang w:eastAsia="zh-CN"/>
        </w:rPr>
        <w:t>, in contrast with “knowledge”</w:t>
      </w:r>
      <w:r w:rsidR="003862FA" w:rsidRPr="00A05792">
        <w:rPr>
          <w:lang w:eastAsia="zh-CN"/>
        </w:rPr>
        <w:t xml:space="preserve">. Nor can it be resolved into ethical action.  </w:t>
      </w:r>
      <w:r w:rsidR="00A05792" w:rsidRPr="00A05792">
        <w:rPr>
          <w:lang w:eastAsia="zh-CN"/>
        </w:rPr>
        <w:t>I</w:t>
      </w:r>
      <w:r w:rsidR="002B3D4D">
        <w:rPr>
          <w:lang w:eastAsia="zh-CN"/>
        </w:rPr>
        <w:t>t is rather the possibility of “a meaning structure”</w:t>
      </w:r>
      <w:r w:rsidR="00A05792" w:rsidRPr="00A05792">
        <w:rPr>
          <w:lang w:eastAsia="zh-CN"/>
        </w:rPr>
        <w:t xml:space="preserve"> as such.</w:t>
      </w:r>
      <w:r w:rsidR="002B3D4D">
        <w:rPr>
          <w:lang w:eastAsia="zh-CN"/>
        </w:rPr>
        <w:t xml:space="preserve"> It is this “meaning structure”, as a potential key to “</w:t>
      </w:r>
      <w:r w:rsidR="008427D5">
        <w:rPr>
          <w:lang w:eastAsia="zh-CN"/>
        </w:rPr>
        <w:t>cross-cultural</w:t>
      </w:r>
      <w:r w:rsidR="002B3D4D">
        <w:rPr>
          <w:lang w:eastAsia="zh-CN"/>
        </w:rPr>
        <w:t xml:space="preserve"> understanding”</w:t>
      </w:r>
      <w:r w:rsidR="001316A4">
        <w:rPr>
          <w:lang w:eastAsia="zh-CN"/>
        </w:rPr>
        <w:t xml:space="preserve">, which is </w:t>
      </w:r>
      <w:r w:rsidR="008427D5">
        <w:rPr>
          <w:lang w:eastAsia="zh-CN"/>
        </w:rPr>
        <w:t>Yang’s chief focus of interest in his article.</w:t>
      </w:r>
      <w:r w:rsidR="000C5D36">
        <w:rPr>
          <w:rStyle w:val="FootnoteReference"/>
          <w:lang w:eastAsia="zh-CN"/>
        </w:rPr>
        <w:footnoteReference w:id="4"/>
      </w:r>
      <w:r w:rsidR="008427D5">
        <w:rPr>
          <w:lang w:eastAsia="zh-CN"/>
        </w:rPr>
        <w:t xml:space="preserve"> </w:t>
      </w:r>
      <w:r w:rsidR="00A05792" w:rsidRPr="00A05792">
        <w:rPr>
          <w:lang w:eastAsia="zh-CN"/>
        </w:rPr>
        <w:t xml:space="preserve"> </w:t>
      </w:r>
      <w:r w:rsidR="007D7B97">
        <w:rPr>
          <w:lang w:eastAsia="zh-CN"/>
        </w:rPr>
        <w:t xml:space="preserve">In the important third section of his paper, </w:t>
      </w:r>
      <w:r w:rsidR="008427D5">
        <w:rPr>
          <w:lang w:eastAsia="zh-CN"/>
        </w:rPr>
        <w:t xml:space="preserve">he develops </w:t>
      </w:r>
      <w:r w:rsidR="00C82DD3">
        <w:rPr>
          <w:lang w:eastAsia="zh-CN"/>
        </w:rPr>
        <w:t xml:space="preserve">this concept with </w:t>
      </w:r>
      <w:r w:rsidR="008427D5">
        <w:rPr>
          <w:lang w:eastAsia="zh-CN"/>
        </w:rPr>
        <w:t xml:space="preserve">a </w:t>
      </w:r>
      <w:proofErr w:type="spellStart"/>
      <w:r w:rsidR="008427D5">
        <w:rPr>
          <w:lang w:eastAsia="zh-CN"/>
        </w:rPr>
        <w:t>Derridean</w:t>
      </w:r>
      <w:proofErr w:type="spellEnd"/>
      <w:r w:rsidR="008427D5">
        <w:rPr>
          <w:lang w:eastAsia="zh-CN"/>
        </w:rPr>
        <w:t xml:space="preserve"> understanding of language as manifesting a c</w:t>
      </w:r>
      <w:r w:rsidR="002B3D4D">
        <w:rPr>
          <w:lang w:eastAsia="zh-CN"/>
        </w:rPr>
        <w:t>ertain “performativity”, which “</w:t>
      </w:r>
      <w:r w:rsidR="008427D5">
        <w:rPr>
          <w:lang w:eastAsia="zh-CN"/>
        </w:rPr>
        <w:t>exceeds even the order and st</w:t>
      </w:r>
      <w:r w:rsidR="002B3D4D">
        <w:rPr>
          <w:lang w:eastAsia="zh-CN"/>
        </w:rPr>
        <w:t>ructure of predictive discourse”</w:t>
      </w:r>
      <w:r w:rsidR="00E92E9E">
        <w:rPr>
          <w:lang w:eastAsia="zh-CN"/>
        </w:rPr>
        <w:t xml:space="preserve">. </w:t>
      </w:r>
      <w:r w:rsidR="002B3D4D">
        <w:rPr>
          <w:lang w:eastAsia="zh-CN"/>
        </w:rPr>
        <w:t xml:space="preserve">Since it </w:t>
      </w:r>
      <w:r w:rsidR="0002030C">
        <w:rPr>
          <w:lang w:eastAsia="zh-CN"/>
        </w:rPr>
        <w:t>“does not say what ‘is’”</w:t>
      </w:r>
      <w:r w:rsidR="002B3D4D">
        <w:rPr>
          <w:lang w:eastAsia="zh-CN"/>
        </w:rPr>
        <w:t>, this is a way of speaking which</w:t>
      </w:r>
      <w:r w:rsidR="00E92E9E">
        <w:rPr>
          <w:lang w:eastAsia="zh-CN"/>
        </w:rPr>
        <w:t xml:space="preserve"> avoid</w:t>
      </w:r>
      <w:r w:rsidR="002B3D4D">
        <w:rPr>
          <w:lang w:eastAsia="zh-CN"/>
        </w:rPr>
        <w:t>s</w:t>
      </w:r>
      <w:r w:rsidR="00E92E9E">
        <w:rPr>
          <w:lang w:eastAsia="zh-CN"/>
        </w:rPr>
        <w:t xml:space="preserve"> a “discur</w:t>
      </w:r>
      <w:r w:rsidR="002B3D4D">
        <w:rPr>
          <w:lang w:eastAsia="zh-CN"/>
        </w:rPr>
        <w:t>sive, logical, rhetorical, mode”</w:t>
      </w:r>
      <w:r w:rsidR="00E92E9E">
        <w:rPr>
          <w:lang w:eastAsia="zh-CN"/>
        </w:rPr>
        <w:t xml:space="preserve">. </w:t>
      </w:r>
      <w:r w:rsidR="00C82DD3">
        <w:rPr>
          <w:lang w:eastAsia="zh-CN"/>
        </w:rPr>
        <w:t>Yang is referring here to Derrida’s concept</w:t>
      </w:r>
      <w:r w:rsidR="002B3D4D">
        <w:rPr>
          <w:lang w:eastAsia="zh-CN"/>
        </w:rPr>
        <w:t>ion of a far-reaching “negative”</w:t>
      </w:r>
      <w:r w:rsidR="00C82DD3">
        <w:rPr>
          <w:lang w:eastAsia="zh-CN"/>
        </w:rPr>
        <w:t xml:space="preserve"> hermeneu</w:t>
      </w:r>
      <w:r w:rsidR="002B3D4D">
        <w:rPr>
          <w:lang w:eastAsia="zh-CN"/>
        </w:rPr>
        <w:t xml:space="preserve">tic, akin to “negative </w:t>
      </w:r>
      <w:r w:rsidR="002B3D4D">
        <w:rPr>
          <w:lang w:eastAsia="zh-CN"/>
        </w:rPr>
        <w:lastRenderedPageBreak/>
        <w:t>theology”</w:t>
      </w:r>
      <w:r w:rsidR="00C82DD3">
        <w:rPr>
          <w:lang w:eastAsia="zh-CN"/>
        </w:rPr>
        <w:t xml:space="preserve">, which refuses normative reference in favour of a deeper testimony to presence and existence. </w:t>
      </w:r>
      <w:r w:rsidR="0002030C">
        <w:rPr>
          <w:lang w:eastAsia="zh-CN"/>
        </w:rPr>
        <w:t>We can</w:t>
      </w:r>
      <w:r w:rsidR="001316A4">
        <w:rPr>
          <w:lang w:eastAsia="zh-CN"/>
        </w:rPr>
        <w:t xml:space="preserve"> sketch out his position. </w:t>
      </w:r>
      <w:r w:rsidR="0002030C">
        <w:rPr>
          <w:lang w:eastAsia="zh-CN"/>
        </w:rPr>
        <w:t xml:space="preserve">Yang is referring to </w:t>
      </w:r>
      <w:r w:rsidR="00C82DD3">
        <w:rPr>
          <w:lang w:eastAsia="zh-CN"/>
        </w:rPr>
        <w:t xml:space="preserve">a </w:t>
      </w:r>
      <w:r w:rsidR="002C052F">
        <w:rPr>
          <w:lang w:eastAsia="zh-CN"/>
        </w:rPr>
        <w:t xml:space="preserve">mode of </w:t>
      </w:r>
      <w:r w:rsidR="00C82DD3">
        <w:rPr>
          <w:lang w:eastAsia="zh-CN"/>
        </w:rPr>
        <w:t xml:space="preserve">presence which encompasses cultural differences in meaning and interpretation. </w:t>
      </w:r>
      <w:r w:rsidR="0002030C">
        <w:rPr>
          <w:lang w:eastAsia="zh-CN"/>
        </w:rPr>
        <w:t xml:space="preserve">This points to an emphasis upon the materiality of </w:t>
      </w:r>
      <w:r w:rsidR="00C82DD3">
        <w:rPr>
          <w:lang w:eastAsia="zh-CN"/>
        </w:rPr>
        <w:t>language</w:t>
      </w:r>
      <w:r w:rsidR="0002030C">
        <w:rPr>
          <w:lang w:eastAsia="zh-CN"/>
        </w:rPr>
        <w:t xml:space="preserve">. The materiality of language is not only something that all speakers have in common, however different the conceptual content of their speech may be. The materiality of language is also coterminous with “world”. </w:t>
      </w:r>
      <w:r w:rsidR="00C82DD3">
        <w:rPr>
          <w:lang w:eastAsia="zh-CN"/>
        </w:rPr>
        <w:t>Through the suspension of direct linguistic referenc</w:t>
      </w:r>
      <w:r w:rsidR="00EE4741">
        <w:rPr>
          <w:lang w:eastAsia="zh-CN"/>
        </w:rPr>
        <w:t xml:space="preserve">e by the subject, with its </w:t>
      </w:r>
      <w:r w:rsidR="00C82DD3">
        <w:rPr>
          <w:lang w:eastAsia="zh-CN"/>
        </w:rPr>
        <w:t xml:space="preserve">structures of </w:t>
      </w:r>
      <w:r w:rsidR="002C052F">
        <w:rPr>
          <w:lang w:eastAsia="zh-CN"/>
        </w:rPr>
        <w:t xml:space="preserve">objectification, </w:t>
      </w:r>
      <w:proofErr w:type="spellStart"/>
      <w:r w:rsidR="00C82DD3">
        <w:rPr>
          <w:lang w:eastAsia="zh-CN"/>
        </w:rPr>
        <w:t>instrumentalisation</w:t>
      </w:r>
      <w:proofErr w:type="spellEnd"/>
      <w:r w:rsidR="00C82DD3">
        <w:rPr>
          <w:lang w:eastAsia="zh-CN"/>
        </w:rPr>
        <w:t xml:space="preserve"> and </w:t>
      </w:r>
      <w:proofErr w:type="gramStart"/>
      <w:r w:rsidR="00C82DD3">
        <w:rPr>
          <w:lang w:eastAsia="zh-CN"/>
        </w:rPr>
        <w:t xml:space="preserve">control,  </w:t>
      </w:r>
      <w:r w:rsidR="00EE4741">
        <w:rPr>
          <w:lang w:eastAsia="zh-CN"/>
        </w:rPr>
        <w:t>something</w:t>
      </w:r>
      <w:proofErr w:type="gramEnd"/>
      <w:r w:rsidR="00EE4741">
        <w:rPr>
          <w:lang w:eastAsia="zh-CN"/>
        </w:rPr>
        <w:t xml:space="preserve"> else can come into pre</w:t>
      </w:r>
      <w:r w:rsidR="002B3D4D">
        <w:rPr>
          <w:lang w:eastAsia="zh-CN"/>
        </w:rPr>
        <w:t>sence in language</w:t>
      </w:r>
      <w:r w:rsidR="0002030C">
        <w:rPr>
          <w:lang w:eastAsia="zh-CN"/>
        </w:rPr>
        <w:t xml:space="preserve"> therefore</w:t>
      </w:r>
      <w:r w:rsidR="002B3D4D">
        <w:rPr>
          <w:lang w:eastAsia="zh-CN"/>
        </w:rPr>
        <w:t xml:space="preserve"> – beyond the “is”</w:t>
      </w:r>
      <w:r w:rsidR="00EE4741">
        <w:rPr>
          <w:lang w:eastAsia="zh-CN"/>
        </w:rPr>
        <w:t xml:space="preserve"> – which is materiality itself: an embodied self seamlessly at home, with encountered others,  in shared space and time. </w:t>
      </w:r>
    </w:p>
    <w:p w14:paraId="7A4B751A" w14:textId="1018A06D" w:rsidR="0070713A" w:rsidRDefault="006C1D9C">
      <w:pPr>
        <w:rPr>
          <w:lang w:eastAsia="zh-CN"/>
        </w:rPr>
      </w:pPr>
      <w:r>
        <w:rPr>
          <w:lang w:eastAsia="zh-CN"/>
        </w:rPr>
        <w:tab/>
      </w:r>
      <w:r w:rsidR="00EE4741">
        <w:rPr>
          <w:lang w:eastAsia="zh-CN"/>
        </w:rPr>
        <w:t xml:space="preserve">Yang is proposing </w:t>
      </w:r>
      <w:r w:rsidR="00A05792" w:rsidRPr="00A05792">
        <w:rPr>
          <w:lang w:eastAsia="zh-CN"/>
        </w:rPr>
        <w:t xml:space="preserve">here that </w:t>
      </w:r>
      <w:r w:rsidR="00FF0DDD">
        <w:rPr>
          <w:lang w:eastAsia="zh-CN"/>
        </w:rPr>
        <w:t>th</w:t>
      </w:r>
      <w:r w:rsidR="00B308BD">
        <w:rPr>
          <w:lang w:eastAsia="zh-CN"/>
        </w:rPr>
        <w:t xml:space="preserve">ere is a kind of abstention from speech, or deliberate non-speaking, </w:t>
      </w:r>
      <w:r w:rsidR="00A05792" w:rsidRPr="00A05792">
        <w:rPr>
          <w:lang w:eastAsia="zh-CN"/>
        </w:rPr>
        <w:t>which is the renunciation of the controlling and separating codification of the world</w:t>
      </w:r>
      <w:r w:rsidR="00B308BD">
        <w:rPr>
          <w:lang w:eastAsia="zh-CN"/>
        </w:rPr>
        <w:t xml:space="preserve">. This </w:t>
      </w:r>
      <w:r w:rsidR="00E65825">
        <w:rPr>
          <w:lang w:eastAsia="zh-CN"/>
        </w:rPr>
        <w:t>remains nevertheless</w:t>
      </w:r>
      <w:r w:rsidR="00145521">
        <w:rPr>
          <w:lang w:eastAsia="zh-CN"/>
        </w:rPr>
        <w:t xml:space="preserve"> a form of linguistic utterance</w:t>
      </w:r>
      <w:r w:rsidR="00E65825">
        <w:rPr>
          <w:lang w:eastAsia="zh-CN"/>
        </w:rPr>
        <w:t xml:space="preserve"> or, more precisely, linguistic </w:t>
      </w:r>
      <w:r w:rsidR="00E65825" w:rsidRPr="00E65825">
        <w:rPr>
          <w:i/>
          <w:lang w:eastAsia="zh-CN"/>
        </w:rPr>
        <w:t>presence</w:t>
      </w:r>
      <w:r w:rsidR="00D02348">
        <w:rPr>
          <w:lang w:eastAsia="zh-CN"/>
        </w:rPr>
        <w:t>, and so is not the cessation of meaning but the possibility of a different kind of meaning</w:t>
      </w:r>
      <w:r w:rsidR="0070713A">
        <w:rPr>
          <w:lang w:eastAsia="zh-CN"/>
        </w:rPr>
        <w:t xml:space="preserve">, or </w:t>
      </w:r>
      <w:r w:rsidR="007B23F2">
        <w:rPr>
          <w:lang w:eastAsia="zh-CN"/>
        </w:rPr>
        <w:t xml:space="preserve">indeed </w:t>
      </w:r>
      <w:r w:rsidR="0070713A">
        <w:rPr>
          <w:lang w:eastAsia="zh-CN"/>
        </w:rPr>
        <w:t>o</w:t>
      </w:r>
      <w:r w:rsidR="0002030C">
        <w:rPr>
          <w:lang w:eastAsia="zh-CN"/>
        </w:rPr>
        <w:t>f a new depth of meaning, as a “meaning structure”</w:t>
      </w:r>
      <w:r w:rsidR="00D02348">
        <w:rPr>
          <w:lang w:eastAsia="zh-CN"/>
        </w:rPr>
        <w:t xml:space="preserve">. </w:t>
      </w:r>
    </w:p>
    <w:p w14:paraId="5EFB1965" w14:textId="550BC1BB" w:rsidR="002C052F" w:rsidRDefault="002C052F">
      <w:pPr>
        <w:rPr>
          <w:lang w:eastAsia="zh-CN"/>
        </w:rPr>
      </w:pPr>
      <w:r>
        <w:rPr>
          <w:lang w:eastAsia="zh-CN"/>
        </w:rPr>
        <w:tab/>
      </w:r>
      <w:r w:rsidR="009A5462">
        <w:rPr>
          <w:lang w:eastAsia="zh-CN"/>
        </w:rPr>
        <w:t xml:space="preserve">This position finds significant resonances in Chinese tradition, but it goes </w:t>
      </w:r>
      <w:r>
        <w:rPr>
          <w:lang w:eastAsia="zh-CN"/>
        </w:rPr>
        <w:t xml:space="preserve">without saying that this </w:t>
      </w:r>
      <w:r w:rsidR="003A65C7">
        <w:rPr>
          <w:lang w:eastAsia="zh-CN"/>
        </w:rPr>
        <w:t>is a note that will sound strange to the modern Western ear.</w:t>
      </w:r>
      <w:r w:rsidR="001316A4">
        <w:rPr>
          <w:rStyle w:val="FootnoteReference"/>
          <w:lang w:eastAsia="zh-CN"/>
        </w:rPr>
        <w:footnoteReference w:id="5"/>
      </w:r>
      <w:r w:rsidR="003A65C7">
        <w:rPr>
          <w:lang w:eastAsia="zh-CN"/>
        </w:rPr>
        <w:t xml:space="preserve"> </w:t>
      </w:r>
      <w:r w:rsidR="00625D55">
        <w:rPr>
          <w:lang w:eastAsia="zh-CN"/>
        </w:rPr>
        <w:t xml:space="preserve">Since Hegel, language in </w:t>
      </w:r>
      <w:r w:rsidR="003A65C7">
        <w:rPr>
          <w:lang w:eastAsia="zh-CN"/>
        </w:rPr>
        <w:t>modern Western tradition</w:t>
      </w:r>
      <w:r w:rsidR="00625D55">
        <w:rPr>
          <w:lang w:eastAsia="zh-CN"/>
        </w:rPr>
        <w:t xml:space="preserve"> has been </w:t>
      </w:r>
      <w:r w:rsidR="003A65C7">
        <w:rPr>
          <w:lang w:eastAsia="zh-CN"/>
        </w:rPr>
        <w:t xml:space="preserve">primarily understood in the light of a </w:t>
      </w:r>
      <w:r w:rsidR="00625D55">
        <w:rPr>
          <w:lang w:eastAsia="zh-CN"/>
        </w:rPr>
        <w:t xml:space="preserve">theory of knowledge which understands the </w:t>
      </w:r>
      <w:proofErr w:type="spellStart"/>
      <w:r w:rsidR="00625D55">
        <w:rPr>
          <w:lang w:eastAsia="zh-CN"/>
        </w:rPr>
        <w:t>contextuality</w:t>
      </w:r>
      <w:proofErr w:type="spellEnd"/>
      <w:r w:rsidR="00625D55">
        <w:rPr>
          <w:lang w:eastAsia="zh-CN"/>
        </w:rPr>
        <w:t xml:space="preserve">, and so necessary limitations, of words as </w:t>
      </w:r>
      <w:r w:rsidR="009A5462">
        <w:rPr>
          <w:lang w:eastAsia="zh-CN"/>
        </w:rPr>
        <w:t xml:space="preserve">material </w:t>
      </w:r>
      <w:r w:rsidR="00625D55">
        <w:rPr>
          <w:lang w:eastAsia="zh-CN"/>
        </w:rPr>
        <w:t xml:space="preserve">sound and shape to be </w:t>
      </w:r>
      <w:r w:rsidR="009A5462">
        <w:rPr>
          <w:lang w:eastAsia="zh-CN"/>
        </w:rPr>
        <w:t xml:space="preserve">precisely what is </w:t>
      </w:r>
      <w:r w:rsidR="006B3BC8">
        <w:rPr>
          <w:lang w:eastAsia="zh-CN"/>
        </w:rPr>
        <w:t>“overcome”</w:t>
      </w:r>
      <w:r w:rsidR="00625D55">
        <w:rPr>
          <w:lang w:eastAsia="zh-CN"/>
        </w:rPr>
        <w:t xml:space="preserve"> in the universalism of modern</w:t>
      </w:r>
      <w:r w:rsidR="003A65C7">
        <w:rPr>
          <w:lang w:eastAsia="zh-CN"/>
        </w:rPr>
        <w:t xml:space="preserve"> scientific knowledge</w:t>
      </w:r>
      <w:r w:rsidR="0099239D">
        <w:rPr>
          <w:lang w:eastAsia="zh-CN"/>
        </w:rPr>
        <w:t>. For all the abstractions</w:t>
      </w:r>
      <w:r w:rsidR="00625D55">
        <w:rPr>
          <w:lang w:eastAsia="zh-CN"/>
        </w:rPr>
        <w:t xml:space="preserve"> of sixteenth century scholasticism, </w:t>
      </w:r>
      <w:r w:rsidR="003A65C7">
        <w:rPr>
          <w:lang w:eastAsia="zh-CN"/>
        </w:rPr>
        <w:t xml:space="preserve">Matteo Ricci would still have had a </w:t>
      </w:r>
      <w:r w:rsidR="0099239D">
        <w:rPr>
          <w:lang w:eastAsia="zh-CN"/>
        </w:rPr>
        <w:t xml:space="preserve">distinctively </w:t>
      </w:r>
      <w:r w:rsidR="003A65C7">
        <w:rPr>
          <w:lang w:eastAsia="zh-CN"/>
        </w:rPr>
        <w:t>pre-modern</w:t>
      </w:r>
      <w:r w:rsidR="0099239D">
        <w:rPr>
          <w:lang w:eastAsia="zh-CN"/>
        </w:rPr>
        <w:t>, materialist</w:t>
      </w:r>
      <w:r w:rsidR="003A65C7">
        <w:rPr>
          <w:lang w:eastAsia="zh-CN"/>
        </w:rPr>
        <w:t xml:space="preserve"> conception of language</w:t>
      </w:r>
      <w:r w:rsidR="00625D55">
        <w:rPr>
          <w:lang w:eastAsia="zh-CN"/>
        </w:rPr>
        <w:t xml:space="preserve">. </w:t>
      </w:r>
      <w:r w:rsidR="0099239D">
        <w:rPr>
          <w:lang w:eastAsia="zh-CN"/>
        </w:rPr>
        <w:t xml:space="preserve">It is worth reminding ourselves here that both </w:t>
      </w:r>
      <w:r w:rsidR="00625D55">
        <w:rPr>
          <w:lang w:eastAsia="zh-CN"/>
        </w:rPr>
        <w:t>Derrida</w:t>
      </w:r>
      <w:r w:rsidR="0099239D">
        <w:rPr>
          <w:lang w:eastAsia="zh-CN"/>
        </w:rPr>
        <w:t xml:space="preserve"> (the North African Jew) and Foucault</w:t>
      </w:r>
      <w:r w:rsidR="00625D55">
        <w:rPr>
          <w:lang w:eastAsia="zh-CN"/>
        </w:rPr>
        <w:t xml:space="preserve"> represent a</w:t>
      </w:r>
      <w:r w:rsidR="0099239D">
        <w:rPr>
          <w:lang w:eastAsia="zh-CN"/>
        </w:rPr>
        <w:t xml:space="preserve">n intellectual </w:t>
      </w:r>
      <w:r w:rsidR="00625D55">
        <w:rPr>
          <w:lang w:eastAsia="zh-CN"/>
        </w:rPr>
        <w:t>sub-tradition</w:t>
      </w:r>
      <w:r w:rsidR="0099239D">
        <w:rPr>
          <w:lang w:eastAsia="zh-CN"/>
        </w:rPr>
        <w:t xml:space="preserve"> in the West</w:t>
      </w:r>
      <w:r w:rsidR="00625D55">
        <w:rPr>
          <w:lang w:eastAsia="zh-CN"/>
        </w:rPr>
        <w:t xml:space="preserve">, which </w:t>
      </w:r>
      <w:r w:rsidR="0099239D">
        <w:rPr>
          <w:lang w:eastAsia="zh-CN"/>
        </w:rPr>
        <w:t xml:space="preserve">– in Foucault’s case – </w:t>
      </w:r>
      <w:r w:rsidR="00625D55">
        <w:rPr>
          <w:lang w:eastAsia="zh-CN"/>
        </w:rPr>
        <w:t>surprisingly goes back to Kant’s fin</w:t>
      </w:r>
      <w:r w:rsidR="00232495">
        <w:rPr>
          <w:lang w:eastAsia="zh-CN"/>
        </w:rPr>
        <w:t xml:space="preserve">al work </w:t>
      </w:r>
      <w:r w:rsidR="00625D55" w:rsidRPr="00232495">
        <w:rPr>
          <w:i/>
          <w:lang w:eastAsia="zh-CN"/>
        </w:rPr>
        <w:t>Anthro</w:t>
      </w:r>
      <w:r w:rsidR="0099239D" w:rsidRPr="00232495">
        <w:rPr>
          <w:i/>
          <w:lang w:eastAsia="zh-CN"/>
        </w:rPr>
        <w:t>pology in Pragmatic Perspective</w:t>
      </w:r>
      <w:r w:rsidR="00625D55">
        <w:rPr>
          <w:lang w:eastAsia="zh-CN"/>
        </w:rPr>
        <w:t xml:space="preserve"> </w:t>
      </w:r>
      <w:r w:rsidR="0099239D">
        <w:rPr>
          <w:lang w:eastAsia="zh-CN"/>
        </w:rPr>
        <w:t xml:space="preserve">in which Kant drew extensively on </w:t>
      </w:r>
      <w:r w:rsidR="00625D55">
        <w:rPr>
          <w:lang w:eastAsia="zh-CN"/>
        </w:rPr>
        <w:t xml:space="preserve">the Romantic thought of </w:t>
      </w:r>
      <w:proofErr w:type="spellStart"/>
      <w:r w:rsidR="00625D55">
        <w:rPr>
          <w:lang w:eastAsia="zh-CN"/>
        </w:rPr>
        <w:t>Hamann</w:t>
      </w:r>
      <w:proofErr w:type="spellEnd"/>
      <w:r w:rsidR="00625D55">
        <w:rPr>
          <w:lang w:eastAsia="zh-CN"/>
        </w:rPr>
        <w:t xml:space="preserve"> and Herder.</w:t>
      </w:r>
      <w:r w:rsidR="0099239D">
        <w:rPr>
          <w:rStyle w:val="FootnoteReference"/>
          <w:lang w:eastAsia="zh-CN"/>
        </w:rPr>
        <w:footnoteReference w:id="6"/>
      </w:r>
      <w:r w:rsidR="00625D55">
        <w:rPr>
          <w:lang w:eastAsia="zh-CN"/>
        </w:rPr>
        <w:t xml:space="preserve"> </w:t>
      </w:r>
    </w:p>
    <w:p w14:paraId="72D0B0E1" w14:textId="7F1AEEA5" w:rsidR="00625D55" w:rsidRDefault="0099239D">
      <w:pPr>
        <w:rPr>
          <w:color w:val="000000" w:themeColor="text1"/>
          <w:lang w:eastAsia="zh-CN"/>
        </w:rPr>
      </w:pPr>
      <w:r>
        <w:rPr>
          <w:lang w:eastAsia="zh-CN"/>
        </w:rPr>
        <w:tab/>
      </w:r>
      <w:r>
        <w:rPr>
          <w:color w:val="000000" w:themeColor="text1"/>
          <w:lang w:eastAsia="zh-CN"/>
        </w:rPr>
        <w:t>Yang</w:t>
      </w:r>
      <w:r>
        <w:rPr>
          <w:lang w:eastAsia="zh-CN"/>
        </w:rPr>
        <w:t xml:space="preserve"> states that his interest goes beyond tracking how </w:t>
      </w:r>
      <w:r w:rsidR="006B3BC8">
        <w:rPr>
          <w:lang w:eastAsia="zh-CN"/>
        </w:rPr>
        <w:t>“</w:t>
      </w:r>
      <w:r w:rsidRPr="00B14200">
        <w:rPr>
          <w:color w:val="000000" w:themeColor="text1"/>
          <w:lang w:eastAsia="zh-CN"/>
        </w:rPr>
        <w:t xml:space="preserve">the </w:t>
      </w:r>
      <w:r w:rsidRPr="00B14200">
        <w:rPr>
          <w:i/>
          <w:color w:val="000000" w:themeColor="text1"/>
          <w:lang w:eastAsia="zh-CN"/>
        </w:rPr>
        <w:t>Book of 25 Paragraphs</w:t>
      </w:r>
      <w:r w:rsidRPr="00B14200">
        <w:rPr>
          <w:color w:val="000000" w:themeColor="text1"/>
          <w:lang w:eastAsia="zh-CN"/>
        </w:rPr>
        <w:t xml:space="preserve"> and </w:t>
      </w:r>
      <w:r w:rsidRPr="00B14200">
        <w:rPr>
          <w:i/>
          <w:color w:val="000000" w:themeColor="text1"/>
          <w:lang w:eastAsia="zh-CN"/>
        </w:rPr>
        <w:t>The True Meaning of the Lord of Heaven</w:t>
      </w:r>
      <w:r w:rsidR="006B3BC8">
        <w:rPr>
          <w:color w:val="000000" w:themeColor="text1"/>
          <w:lang w:eastAsia="zh-CN"/>
        </w:rPr>
        <w:t>”</w:t>
      </w:r>
      <w:r>
        <w:rPr>
          <w:color w:val="000000" w:themeColor="text1"/>
          <w:lang w:eastAsia="zh-CN"/>
        </w:rPr>
        <w:t xml:space="preserve"> brought Western ideas into China. For him rather it is </w:t>
      </w:r>
      <w:r w:rsidR="006B3BC8">
        <w:rPr>
          <w:color w:val="000000" w:themeColor="text1"/>
          <w:lang w:eastAsia="zh-CN"/>
        </w:rPr>
        <w:t>the introduction of Foucault’s “</w:t>
      </w:r>
      <w:r w:rsidRPr="00B14200">
        <w:rPr>
          <w:color w:val="000000" w:themeColor="text1"/>
          <w:lang w:eastAsia="zh-CN"/>
        </w:rPr>
        <w:t>thousand years of</w:t>
      </w:r>
      <w:r w:rsidR="006B3BC8">
        <w:rPr>
          <w:color w:val="000000" w:themeColor="text1"/>
          <w:lang w:eastAsia="zh-CN"/>
        </w:rPr>
        <w:t xml:space="preserve"> transformation”</w:t>
      </w:r>
      <w:r w:rsidRPr="00B14200">
        <w:rPr>
          <w:color w:val="000000" w:themeColor="text1"/>
          <w:lang w:eastAsia="zh-CN"/>
        </w:rPr>
        <w:t xml:space="preserve"> into Chinese structures of understanding</w:t>
      </w:r>
      <w:r w:rsidR="006B3BC8">
        <w:rPr>
          <w:color w:val="000000" w:themeColor="text1"/>
          <w:lang w:eastAsia="zh-CN"/>
        </w:rPr>
        <w:t xml:space="preserve"> which is the potential “decisive moment” or “thought event”</w:t>
      </w:r>
      <w:r>
        <w:rPr>
          <w:color w:val="000000" w:themeColor="text1"/>
          <w:lang w:eastAsia="zh-CN"/>
        </w:rPr>
        <w:t>.</w:t>
      </w:r>
      <w:r w:rsidR="006C1D9C">
        <w:rPr>
          <w:rStyle w:val="FootnoteReference"/>
          <w:color w:val="000000" w:themeColor="text1"/>
          <w:lang w:eastAsia="zh-CN"/>
        </w:rPr>
        <w:footnoteReference w:id="7"/>
      </w:r>
      <w:r w:rsidR="00A74FD3">
        <w:rPr>
          <w:color w:val="000000" w:themeColor="text1"/>
          <w:lang w:eastAsia="zh-CN"/>
        </w:rPr>
        <w:t xml:space="preserve"> In short, </w:t>
      </w:r>
      <w:r w:rsidR="00367A61">
        <w:rPr>
          <w:color w:val="000000" w:themeColor="text1"/>
          <w:lang w:eastAsia="zh-CN"/>
        </w:rPr>
        <w:t>this is a subtle way of identifying this particular sub-tradition as potentially offering a decisively new hermeneutical platform for dialogue between East and West.</w:t>
      </w:r>
      <w:r w:rsidR="00625D55">
        <w:rPr>
          <w:lang w:eastAsia="zh-CN"/>
        </w:rPr>
        <w:tab/>
      </w:r>
      <w:r w:rsidR="009172C4">
        <w:rPr>
          <w:color w:val="000000" w:themeColor="text1"/>
          <w:lang w:eastAsia="zh-CN"/>
        </w:rPr>
        <w:t xml:space="preserve"> </w:t>
      </w:r>
    </w:p>
    <w:p w14:paraId="170D77C5" w14:textId="77777777" w:rsidR="00FA474A" w:rsidRDefault="00FA474A">
      <w:pPr>
        <w:rPr>
          <w:color w:val="000000" w:themeColor="text1"/>
          <w:lang w:eastAsia="zh-CN"/>
        </w:rPr>
      </w:pPr>
    </w:p>
    <w:p w14:paraId="7AB86E32" w14:textId="0AA91490" w:rsidR="00FA474A" w:rsidRDefault="00FA474A">
      <w:pPr>
        <w:rPr>
          <w:color w:val="000000" w:themeColor="text1"/>
          <w:lang w:eastAsia="zh-CN"/>
        </w:rPr>
      </w:pPr>
      <w:r>
        <w:rPr>
          <w:color w:val="000000" w:themeColor="text1"/>
          <w:lang w:eastAsia="zh-CN"/>
        </w:rPr>
        <w:t>Perspective and the Limits of East-West Dialogue</w:t>
      </w:r>
    </w:p>
    <w:p w14:paraId="6B18AE38" w14:textId="59A4D421" w:rsidR="00191DF7" w:rsidRDefault="00191DF7">
      <w:pPr>
        <w:rPr>
          <w:lang w:eastAsia="zh-CN"/>
        </w:rPr>
      </w:pPr>
      <w:r>
        <w:rPr>
          <w:lang w:eastAsia="zh-CN"/>
        </w:rPr>
        <w:t xml:space="preserve">Under the spell cast by </w:t>
      </w:r>
      <w:proofErr w:type="spellStart"/>
      <w:r>
        <w:rPr>
          <w:lang w:eastAsia="zh-CN"/>
        </w:rPr>
        <w:t>Prof.</w:t>
      </w:r>
      <w:proofErr w:type="spellEnd"/>
      <w:r>
        <w:rPr>
          <w:lang w:eastAsia="zh-CN"/>
        </w:rPr>
        <w:t xml:space="preserve"> Yang’s subtle interweaving of hermeneutical perspectives around the common theme of Epictetus, for both Ricci and Foucault, this Western reader finds </w:t>
      </w:r>
      <w:proofErr w:type="gramStart"/>
      <w:r>
        <w:rPr>
          <w:lang w:eastAsia="zh-CN"/>
        </w:rPr>
        <w:t>the  picture</w:t>
      </w:r>
      <w:proofErr w:type="gramEnd"/>
      <w:r>
        <w:rPr>
          <w:lang w:eastAsia="zh-CN"/>
        </w:rPr>
        <w:t xml:space="preserve"> compelling. But not all Western readers will be prepared to be carried </w:t>
      </w:r>
      <w:r>
        <w:rPr>
          <w:lang w:eastAsia="zh-CN"/>
        </w:rPr>
        <w:lastRenderedPageBreak/>
        <w:t xml:space="preserve">along on what are, finally, interpretative strategies, rather than – for instance - directly historical ones (there is only an interpretative relation between Ricci and Foucault in this text). </w:t>
      </w:r>
      <w:r w:rsidR="000B64BB">
        <w:rPr>
          <w:lang w:eastAsia="zh-CN"/>
        </w:rPr>
        <w:t xml:space="preserve">It may be that a Chinese reader will have a more robust and long term sense of </w:t>
      </w:r>
      <w:r w:rsidR="00B5058E">
        <w:rPr>
          <w:lang w:eastAsia="zh-CN"/>
        </w:rPr>
        <w:t>a coherent Chinese tradition. In</w:t>
      </w:r>
      <w:r w:rsidR="000B64BB">
        <w:rPr>
          <w:lang w:eastAsia="zh-CN"/>
        </w:rPr>
        <w:t xml:space="preserve"> contrast</w:t>
      </w:r>
      <w:r w:rsidR="00B5058E">
        <w:rPr>
          <w:lang w:eastAsia="zh-CN"/>
        </w:rPr>
        <w:t>, the Western reader is likely to feel that while t</w:t>
      </w:r>
      <w:r>
        <w:rPr>
          <w:lang w:eastAsia="zh-CN"/>
        </w:rPr>
        <w:t>he interpretation is informative and illuminating</w:t>
      </w:r>
      <w:r w:rsidR="00B5058E">
        <w:rPr>
          <w:lang w:eastAsia="zh-CN"/>
        </w:rPr>
        <w:t xml:space="preserve">, </w:t>
      </w:r>
      <w:r>
        <w:rPr>
          <w:lang w:eastAsia="zh-CN"/>
        </w:rPr>
        <w:t xml:space="preserve">it does not have the authority of the historical: it is not as if Foucault has read Ricci and has learnt from him in the way Foucault learns from the late Kant, for instance. If this </w:t>
      </w:r>
      <w:r w:rsidRPr="00FD3A32">
        <w:rPr>
          <w:i/>
          <w:lang w:eastAsia="zh-CN"/>
        </w:rPr>
        <w:t>interpretation</w:t>
      </w:r>
      <w:r>
        <w:rPr>
          <w:lang w:eastAsia="zh-CN"/>
        </w:rPr>
        <w:t xml:space="preserve"> of encounter which is both </w:t>
      </w:r>
      <w:r w:rsidR="006C1D9C">
        <w:rPr>
          <w:lang w:eastAsia="zh-CN"/>
        </w:rPr>
        <w:t>“</w:t>
      </w:r>
      <w:r>
        <w:rPr>
          <w:lang w:eastAsia="zh-CN"/>
        </w:rPr>
        <w:t>intra- and inter-lingual</w:t>
      </w:r>
      <w:r w:rsidR="006C1D9C">
        <w:rPr>
          <w:lang w:eastAsia="zh-CN"/>
        </w:rPr>
        <w:t>”</w:t>
      </w:r>
      <w:r>
        <w:rPr>
          <w:lang w:eastAsia="zh-CN"/>
        </w:rPr>
        <w:t xml:space="preserve"> within East-West dialogue is to have the kind of authority which can – potentially – lend it a certain </w:t>
      </w:r>
      <w:r w:rsidRPr="002502B6">
        <w:rPr>
          <w:i/>
          <w:lang w:eastAsia="zh-CN"/>
        </w:rPr>
        <w:t>normativity</w:t>
      </w:r>
      <w:r>
        <w:rPr>
          <w:lang w:eastAsia="zh-CN"/>
        </w:rPr>
        <w:t xml:space="preserve"> within East-West dialogue (and so also potentially in ways which might have relevance to East-West relations), then we need at this point to find a different kind of discourse which can re-frame the  interpretative here along more explicitly normative </w:t>
      </w:r>
      <w:r w:rsidR="006B3BC8">
        <w:rPr>
          <w:lang w:eastAsia="zh-CN"/>
        </w:rPr>
        <w:t xml:space="preserve"> </w:t>
      </w:r>
      <w:r>
        <w:rPr>
          <w:lang w:eastAsia="zh-CN"/>
        </w:rPr>
        <w:t>lines.</w:t>
      </w:r>
      <w:r w:rsidR="006C1D9C">
        <w:rPr>
          <w:rStyle w:val="FootnoteReference"/>
          <w:lang w:eastAsia="zh-CN"/>
        </w:rPr>
        <w:footnoteReference w:id="8"/>
      </w:r>
      <w:r w:rsidR="002B109E">
        <w:rPr>
          <w:lang w:eastAsia="zh-CN"/>
        </w:rPr>
        <w:t xml:space="preserve"> </w:t>
      </w:r>
    </w:p>
    <w:p w14:paraId="4F70461D" w14:textId="76368642" w:rsidR="00191DF7" w:rsidRDefault="00191DF7" w:rsidP="00191DF7">
      <w:pPr>
        <w:rPr>
          <w:lang w:eastAsia="zh-CN"/>
        </w:rPr>
      </w:pPr>
      <w:r>
        <w:rPr>
          <w:lang w:eastAsia="zh-CN"/>
        </w:rPr>
        <w:tab/>
        <w:t xml:space="preserve">Let us recapitulate then. The </w:t>
      </w:r>
      <w:r w:rsidR="006C1D9C">
        <w:rPr>
          <w:lang w:eastAsia="zh-CN"/>
        </w:rPr>
        <w:t xml:space="preserve">interrogative method that </w:t>
      </w:r>
      <w:r>
        <w:rPr>
          <w:lang w:eastAsia="zh-CN"/>
        </w:rPr>
        <w:t xml:space="preserve">Yang adopts in his study of Ricci and Foucault on Epictetus is one which invites us to share in the </w:t>
      </w:r>
      <w:r w:rsidRPr="00F11536">
        <w:rPr>
          <w:i/>
          <w:lang w:eastAsia="zh-CN"/>
        </w:rPr>
        <w:t>perspective</w:t>
      </w:r>
      <w:r>
        <w:rPr>
          <w:lang w:eastAsia="zh-CN"/>
        </w:rPr>
        <w:t xml:space="preserve"> of Matteo Ricci, specifically with respect to his view of Epictetus, and </w:t>
      </w:r>
      <w:proofErr w:type="gramStart"/>
      <w:r>
        <w:rPr>
          <w:lang w:eastAsia="zh-CN"/>
        </w:rPr>
        <w:t>that  of</w:t>
      </w:r>
      <w:proofErr w:type="gramEnd"/>
      <w:r>
        <w:rPr>
          <w:lang w:eastAsia="zh-CN"/>
        </w:rPr>
        <w:t xml:space="preserve"> Michel Foucault, likewise in his view of Epictetus. By placing them together in this way, he is asking us to understand these two figures to be in dia</w:t>
      </w:r>
      <w:r w:rsidR="006B3BC8">
        <w:rPr>
          <w:lang w:eastAsia="zh-CN"/>
        </w:rPr>
        <w:t>logue with one another, across “</w:t>
      </w:r>
      <w:r>
        <w:rPr>
          <w:lang w:eastAsia="zh-CN"/>
        </w:rPr>
        <w:t>a t</w:t>
      </w:r>
      <w:r w:rsidR="006B3BC8">
        <w:rPr>
          <w:lang w:eastAsia="zh-CN"/>
        </w:rPr>
        <w:t>housand years of transformation”</w:t>
      </w:r>
      <w:r>
        <w:rPr>
          <w:lang w:eastAsia="zh-CN"/>
        </w:rPr>
        <w:t>, as he notes in Foucault’s phrase. He is inviting us to join him in viewing these two figures – Ricci and Foucault – as constituting for us a dialogue between East and West, primarily throu</w:t>
      </w:r>
      <w:r w:rsidR="006B3BC8">
        <w:rPr>
          <w:lang w:eastAsia="zh-CN"/>
        </w:rPr>
        <w:t xml:space="preserve">gh the fact that they are both “looking at” </w:t>
      </w:r>
      <w:r>
        <w:rPr>
          <w:lang w:eastAsia="zh-CN"/>
        </w:rPr>
        <w:t xml:space="preserve">Epictetus. Of course, this is framed in terms of culture contact (China and the West, Christianity and Stoicism, modern Europe and the classical tradition) and the productive tension between what he calls intra-lingual </w:t>
      </w:r>
      <w:proofErr w:type="gramStart"/>
      <w:r>
        <w:rPr>
          <w:lang w:eastAsia="zh-CN"/>
        </w:rPr>
        <w:t>and  inter</w:t>
      </w:r>
      <w:proofErr w:type="gramEnd"/>
      <w:r>
        <w:rPr>
          <w:lang w:eastAsia="zh-CN"/>
        </w:rPr>
        <w:t xml:space="preserve">-lingual encounters. Indeed, we can read this paper as a creative production of new understanding through the assembling of overlapping historical perspectives, as mediated by the two personalities sketched by the author for us. The figure of Ricci is contextualized in terms of the particular social and intellectual contexts which may have influenced him, whether Confucian, </w:t>
      </w:r>
      <w:proofErr w:type="spellStart"/>
      <w:r>
        <w:rPr>
          <w:lang w:eastAsia="zh-CN"/>
        </w:rPr>
        <w:t>Ignatian</w:t>
      </w:r>
      <w:proofErr w:type="spellEnd"/>
      <w:r>
        <w:rPr>
          <w:lang w:eastAsia="zh-CN"/>
        </w:rPr>
        <w:t xml:space="preserve">, or the Greek influence of the Stoic Epictetus. Foucault on the other hand is represented in the intensity of his engagement with Epictetus, as a Greek slave born to a slave, who understood the claims of freedom. This is the creative production of a dialogue then which makes adroit use of the imagination, setting the scene in a way that makes new overlaps and new understandings possible. </w:t>
      </w:r>
    </w:p>
    <w:p w14:paraId="1D569C48" w14:textId="77777777" w:rsidR="00191DF7" w:rsidRDefault="00191DF7">
      <w:pPr>
        <w:rPr>
          <w:color w:val="000000" w:themeColor="text1"/>
          <w:lang w:eastAsia="zh-CN"/>
        </w:rPr>
      </w:pPr>
    </w:p>
    <w:p w14:paraId="47B53839" w14:textId="6514DDA0" w:rsidR="00FA474A" w:rsidRDefault="007522CC" w:rsidP="00B8610C">
      <w:pPr>
        <w:rPr>
          <w:lang w:eastAsia="zh-CN"/>
        </w:rPr>
      </w:pPr>
      <w:r>
        <w:rPr>
          <w:lang w:eastAsia="zh-CN"/>
        </w:rPr>
        <w:t>TOWARDS A FUNDAMENTAL HERMENEUTIC OF PERSPECTIVE</w:t>
      </w:r>
    </w:p>
    <w:p w14:paraId="25D00D6F" w14:textId="7F121CD5" w:rsidR="007522CC" w:rsidRDefault="007522CC" w:rsidP="00B8610C">
      <w:pPr>
        <w:rPr>
          <w:lang w:eastAsia="zh-CN"/>
        </w:rPr>
      </w:pPr>
      <w:r>
        <w:rPr>
          <w:lang w:eastAsia="zh-CN"/>
        </w:rPr>
        <w:t xml:space="preserve">But we can also read </w:t>
      </w:r>
      <w:r w:rsidR="000A5F2C">
        <w:rPr>
          <w:lang w:eastAsia="zh-CN"/>
        </w:rPr>
        <w:t xml:space="preserve">this text </w:t>
      </w:r>
      <w:r>
        <w:rPr>
          <w:lang w:eastAsia="zh-CN"/>
        </w:rPr>
        <w:t xml:space="preserve">from within a different and more fundamental hermeneutic. In order to do that, we shall have to substitute one set of words for another. These are not intended to </w:t>
      </w:r>
      <w:r w:rsidR="001316A4">
        <w:rPr>
          <w:lang w:eastAsia="zh-CN"/>
        </w:rPr>
        <w:t xml:space="preserve">replace the terms used in </w:t>
      </w:r>
      <w:r>
        <w:rPr>
          <w:lang w:eastAsia="zh-CN"/>
        </w:rPr>
        <w:t xml:space="preserve">Yang’s discussion however, but rather to enhance the range of their potential meanings. </w:t>
      </w:r>
      <w:r w:rsidR="0050274A">
        <w:rPr>
          <w:lang w:eastAsia="zh-CN"/>
        </w:rPr>
        <w:t xml:space="preserve">But we have to be prepared for the possibility that </w:t>
      </w:r>
      <w:r w:rsidR="00523139">
        <w:rPr>
          <w:lang w:eastAsia="zh-CN"/>
        </w:rPr>
        <w:t>these new terms</w:t>
      </w:r>
      <w:r w:rsidR="0050274A">
        <w:rPr>
          <w:lang w:eastAsia="zh-CN"/>
        </w:rPr>
        <w:t xml:space="preserve"> may </w:t>
      </w:r>
      <w:r>
        <w:rPr>
          <w:lang w:eastAsia="zh-CN"/>
        </w:rPr>
        <w:t>offer a context within which the encounter between Chinese and Western terminology</w:t>
      </w:r>
      <w:r w:rsidR="00BC56D7">
        <w:rPr>
          <w:lang w:eastAsia="zh-CN"/>
        </w:rPr>
        <w:t xml:space="preserve">, as we find </w:t>
      </w:r>
      <w:r w:rsidR="0050274A">
        <w:rPr>
          <w:lang w:eastAsia="zh-CN"/>
        </w:rPr>
        <w:t xml:space="preserve">it developed </w:t>
      </w:r>
      <w:r w:rsidR="001316A4">
        <w:rPr>
          <w:lang w:eastAsia="zh-CN"/>
        </w:rPr>
        <w:t xml:space="preserve">in </w:t>
      </w:r>
      <w:r w:rsidR="00BC56D7">
        <w:rPr>
          <w:lang w:eastAsia="zh-CN"/>
        </w:rPr>
        <w:t xml:space="preserve">Yang’s </w:t>
      </w:r>
      <w:proofErr w:type="gramStart"/>
      <w:r w:rsidR="00BC56D7">
        <w:rPr>
          <w:lang w:eastAsia="zh-CN"/>
        </w:rPr>
        <w:t xml:space="preserve">discussion, </w:t>
      </w:r>
      <w:r>
        <w:rPr>
          <w:lang w:eastAsia="zh-CN"/>
        </w:rPr>
        <w:t xml:space="preserve"> can</w:t>
      </w:r>
      <w:proofErr w:type="gramEnd"/>
      <w:r>
        <w:rPr>
          <w:lang w:eastAsia="zh-CN"/>
        </w:rPr>
        <w:t xml:space="preserve"> tak</w:t>
      </w:r>
      <w:r w:rsidR="004A0EB0">
        <w:rPr>
          <w:lang w:eastAsia="zh-CN"/>
        </w:rPr>
        <w:t>e on a new depth of meaning</w:t>
      </w:r>
      <w:r w:rsidR="00BC56D7">
        <w:rPr>
          <w:lang w:eastAsia="zh-CN"/>
        </w:rPr>
        <w:t xml:space="preserve">. </w:t>
      </w:r>
      <w:r w:rsidR="005D046F">
        <w:rPr>
          <w:lang w:eastAsia="zh-CN"/>
        </w:rPr>
        <w:t xml:space="preserve">If </w:t>
      </w:r>
      <w:r w:rsidR="0050274A">
        <w:rPr>
          <w:lang w:eastAsia="zh-CN"/>
        </w:rPr>
        <w:t xml:space="preserve">this is the case, and </w:t>
      </w:r>
      <w:r w:rsidR="005D046F">
        <w:rPr>
          <w:lang w:eastAsia="zh-CN"/>
        </w:rPr>
        <w:t xml:space="preserve">the </w:t>
      </w:r>
      <w:r w:rsidR="0050274A">
        <w:rPr>
          <w:lang w:eastAsia="zh-CN"/>
        </w:rPr>
        <w:t xml:space="preserve">advent of </w:t>
      </w:r>
      <w:r w:rsidR="005D046F">
        <w:rPr>
          <w:lang w:eastAsia="zh-CN"/>
        </w:rPr>
        <w:t xml:space="preserve">this new </w:t>
      </w:r>
      <w:r w:rsidR="0050274A">
        <w:rPr>
          <w:lang w:eastAsia="zh-CN"/>
        </w:rPr>
        <w:t xml:space="preserve">and fundamental hermeneutic appears to be </w:t>
      </w:r>
      <w:r w:rsidR="00523139">
        <w:rPr>
          <w:lang w:eastAsia="zh-CN"/>
        </w:rPr>
        <w:t xml:space="preserve">in itself </w:t>
      </w:r>
      <w:r w:rsidR="0050274A">
        <w:rPr>
          <w:lang w:eastAsia="zh-CN"/>
        </w:rPr>
        <w:t xml:space="preserve">an occurrence which constitutes what </w:t>
      </w:r>
      <w:r w:rsidR="000A5F2C">
        <w:rPr>
          <w:lang w:eastAsia="zh-CN"/>
        </w:rPr>
        <w:t>Yang, following Fo</w:t>
      </w:r>
      <w:r w:rsidR="00572A4B">
        <w:rPr>
          <w:lang w:eastAsia="zh-CN"/>
        </w:rPr>
        <w:t xml:space="preserve">ucault, </w:t>
      </w:r>
      <w:r w:rsidR="006B3BC8">
        <w:rPr>
          <w:lang w:eastAsia="zh-CN"/>
        </w:rPr>
        <w:t>calls “an event of thought”</w:t>
      </w:r>
      <w:r w:rsidR="00851C77">
        <w:rPr>
          <w:lang w:eastAsia="zh-CN"/>
        </w:rPr>
        <w:t xml:space="preserve">, then it will need to be </w:t>
      </w:r>
      <w:r w:rsidR="004A0EB0">
        <w:rPr>
          <w:lang w:eastAsia="zh-CN"/>
        </w:rPr>
        <w:t xml:space="preserve">considered </w:t>
      </w:r>
      <w:r w:rsidR="00851C77">
        <w:rPr>
          <w:lang w:eastAsia="zh-CN"/>
        </w:rPr>
        <w:t xml:space="preserve">carefully, from all sides, </w:t>
      </w:r>
      <w:r w:rsidR="00572A4B">
        <w:rPr>
          <w:lang w:eastAsia="zh-CN"/>
        </w:rPr>
        <w:t xml:space="preserve">like any other </w:t>
      </w:r>
      <w:r w:rsidR="00BC56D7">
        <w:rPr>
          <w:lang w:eastAsia="zh-CN"/>
        </w:rPr>
        <w:t>‘</w:t>
      </w:r>
      <w:r w:rsidR="00572A4B">
        <w:rPr>
          <w:lang w:eastAsia="zh-CN"/>
        </w:rPr>
        <w:t>event</w:t>
      </w:r>
      <w:r w:rsidR="00BC56D7">
        <w:rPr>
          <w:lang w:eastAsia="zh-CN"/>
        </w:rPr>
        <w:t>’</w:t>
      </w:r>
      <w:r w:rsidR="00851C77">
        <w:rPr>
          <w:lang w:eastAsia="zh-CN"/>
        </w:rPr>
        <w:t xml:space="preserve">. It will have to be weighed and valued in the various contexts in </w:t>
      </w:r>
      <w:proofErr w:type="gramStart"/>
      <w:r w:rsidR="00851C77">
        <w:rPr>
          <w:lang w:eastAsia="zh-CN"/>
        </w:rPr>
        <w:t xml:space="preserve">which </w:t>
      </w:r>
      <w:r w:rsidR="00572A4B">
        <w:rPr>
          <w:lang w:eastAsia="zh-CN"/>
        </w:rPr>
        <w:t xml:space="preserve"> </w:t>
      </w:r>
      <w:r w:rsidR="006B3BC8">
        <w:rPr>
          <w:lang w:eastAsia="zh-CN"/>
        </w:rPr>
        <w:t>its</w:t>
      </w:r>
      <w:proofErr w:type="gramEnd"/>
      <w:r w:rsidR="006B3BC8">
        <w:rPr>
          <w:lang w:eastAsia="zh-CN"/>
        </w:rPr>
        <w:t xml:space="preserve"> “event character”</w:t>
      </w:r>
      <w:r w:rsidR="00851C77">
        <w:rPr>
          <w:lang w:eastAsia="zh-CN"/>
        </w:rPr>
        <w:t xml:space="preserve"> occurs. </w:t>
      </w:r>
      <w:r w:rsidR="0049138D">
        <w:rPr>
          <w:lang w:eastAsia="zh-CN"/>
        </w:rPr>
        <w:t>This would be a</w:t>
      </w:r>
      <w:r w:rsidR="00F326CF">
        <w:rPr>
          <w:lang w:eastAsia="zh-CN"/>
        </w:rPr>
        <w:t>n interesting project but one which is a</w:t>
      </w:r>
      <w:r w:rsidR="0049138D">
        <w:rPr>
          <w:lang w:eastAsia="zh-CN"/>
        </w:rPr>
        <w:t xml:space="preserve"> collaborative task that extends far beyond the reach of the present paper. </w:t>
      </w:r>
    </w:p>
    <w:p w14:paraId="4A5676B2" w14:textId="77777777" w:rsidR="007522CC" w:rsidRDefault="007522CC" w:rsidP="00B8610C">
      <w:pPr>
        <w:rPr>
          <w:lang w:eastAsia="zh-CN"/>
        </w:rPr>
      </w:pPr>
    </w:p>
    <w:p w14:paraId="6C872162" w14:textId="50481059" w:rsidR="007522CC" w:rsidRDefault="00156349" w:rsidP="00B8610C">
      <w:pPr>
        <w:rPr>
          <w:lang w:eastAsia="zh-CN"/>
        </w:rPr>
      </w:pPr>
      <w:r>
        <w:rPr>
          <w:lang w:eastAsia="zh-CN"/>
        </w:rPr>
        <w:t>Joint Attention</w:t>
      </w:r>
    </w:p>
    <w:p w14:paraId="02412BAB" w14:textId="03F1F3DB" w:rsidR="004A79EE" w:rsidRDefault="00B8610C" w:rsidP="00B8610C">
      <w:pPr>
        <w:rPr>
          <w:lang w:eastAsia="zh-CN"/>
        </w:rPr>
      </w:pPr>
      <w:r>
        <w:rPr>
          <w:lang w:eastAsia="zh-CN"/>
        </w:rPr>
        <w:t>The fir</w:t>
      </w:r>
      <w:r w:rsidR="00D3489D">
        <w:rPr>
          <w:lang w:eastAsia="zh-CN"/>
        </w:rPr>
        <w:t>st term I want to introduce is “joint attention”</w:t>
      </w:r>
      <w:r w:rsidR="00842A66">
        <w:rPr>
          <w:lang w:eastAsia="zh-CN"/>
        </w:rPr>
        <w:t>.</w:t>
      </w:r>
      <w:r w:rsidR="006C1D9C">
        <w:rPr>
          <w:rStyle w:val="FootnoteReference"/>
          <w:lang w:eastAsia="zh-CN"/>
        </w:rPr>
        <w:footnoteReference w:id="9"/>
      </w:r>
      <w:r w:rsidR="00842A66">
        <w:rPr>
          <w:lang w:eastAsia="zh-CN"/>
        </w:rPr>
        <w:t xml:space="preserve"> This can be </w:t>
      </w:r>
      <w:r w:rsidR="00C055FE">
        <w:rPr>
          <w:lang w:eastAsia="zh-CN"/>
        </w:rPr>
        <w:t xml:space="preserve">associated </w:t>
      </w:r>
      <w:r w:rsidR="00F003FB">
        <w:rPr>
          <w:lang w:eastAsia="zh-CN"/>
        </w:rPr>
        <w:t xml:space="preserve">directly </w:t>
      </w:r>
      <w:r w:rsidR="00D3489D">
        <w:rPr>
          <w:lang w:eastAsia="zh-CN"/>
        </w:rPr>
        <w:t>with the notion of “</w:t>
      </w:r>
      <w:r w:rsidR="00C055FE">
        <w:rPr>
          <w:lang w:eastAsia="zh-CN"/>
        </w:rPr>
        <w:t>pers</w:t>
      </w:r>
      <w:r w:rsidR="00D3489D">
        <w:rPr>
          <w:lang w:eastAsia="zh-CN"/>
        </w:rPr>
        <w:t>pective”</w:t>
      </w:r>
      <w:r w:rsidR="007F36DF">
        <w:rPr>
          <w:lang w:eastAsia="zh-CN"/>
        </w:rPr>
        <w:t xml:space="preserve">. It </w:t>
      </w:r>
      <w:r>
        <w:rPr>
          <w:lang w:eastAsia="zh-CN"/>
        </w:rPr>
        <w:t xml:space="preserve">belongs in the main within </w:t>
      </w:r>
      <w:r w:rsidR="00C055FE">
        <w:rPr>
          <w:lang w:eastAsia="zh-CN"/>
        </w:rPr>
        <w:t xml:space="preserve">child development, but it is also applied </w:t>
      </w:r>
      <w:proofErr w:type="gramStart"/>
      <w:r w:rsidR="00C055FE">
        <w:rPr>
          <w:lang w:eastAsia="zh-CN"/>
        </w:rPr>
        <w:t xml:space="preserve">in  </w:t>
      </w:r>
      <w:r>
        <w:rPr>
          <w:lang w:eastAsia="zh-CN"/>
        </w:rPr>
        <w:t>evolutionary</w:t>
      </w:r>
      <w:proofErr w:type="gramEnd"/>
      <w:r>
        <w:rPr>
          <w:lang w:eastAsia="zh-CN"/>
        </w:rPr>
        <w:t xml:space="preserve"> anthropology</w:t>
      </w:r>
      <w:r w:rsidR="00C055FE">
        <w:rPr>
          <w:lang w:eastAsia="zh-CN"/>
        </w:rPr>
        <w:t xml:space="preserve">. </w:t>
      </w:r>
      <w:r w:rsidR="00DF318D">
        <w:rPr>
          <w:lang w:eastAsia="zh-CN"/>
        </w:rPr>
        <w:t>It points</w:t>
      </w:r>
      <w:r>
        <w:rPr>
          <w:lang w:eastAsia="zh-CN"/>
        </w:rPr>
        <w:t xml:space="preserve"> to the way in which human beings can focus together on a single object of attention</w:t>
      </w:r>
      <w:r w:rsidR="00DF318D">
        <w:rPr>
          <w:lang w:eastAsia="zh-CN"/>
        </w:rPr>
        <w:t>, and is a form of behaviour which underlies the development of linguistic reference, empathy and our capacity to imagine the content of other minds</w:t>
      </w:r>
      <w:r>
        <w:rPr>
          <w:lang w:eastAsia="zh-CN"/>
        </w:rPr>
        <w:t xml:space="preserve">. </w:t>
      </w:r>
      <w:r w:rsidR="00DF318D">
        <w:rPr>
          <w:lang w:eastAsia="zh-CN"/>
        </w:rPr>
        <w:t>T</w:t>
      </w:r>
      <w:r>
        <w:rPr>
          <w:lang w:eastAsia="zh-CN"/>
        </w:rPr>
        <w:t xml:space="preserve">he acquisition of this skill is key in the </w:t>
      </w:r>
      <w:r w:rsidR="00C055FE">
        <w:rPr>
          <w:lang w:eastAsia="zh-CN"/>
        </w:rPr>
        <w:t xml:space="preserve">early </w:t>
      </w:r>
      <w:r>
        <w:rPr>
          <w:lang w:eastAsia="zh-CN"/>
        </w:rPr>
        <w:t>development of the growing child</w:t>
      </w:r>
      <w:r w:rsidR="00DF318D">
        <w:rPr>
          <w:lang w:eastAsia="zh-CN"/>
        </w:rPr>
        <w:t xml:space="preserve">, and it is very likely that it originated  early on in our evolutionary history (some intelligent </w:t>
      </w:r>
      <w:r w:rsidR="00A22EF9">
        <w:rPr>
          <w:lang w:eastAsia="zh-CN"/>
        </w:rPr>
        <w:t>mammals</w:t>
      </w:r>
      <w:r w:rsidR="00DF318D">
        <w:rPr>
          <w:lang w:eastAsia="zh-CN"/>
        </w:rPr>
        <w:t xml:space="preserve"> also show a capacity for “joint attention”</w:t>
      </w:r>
      <w:r w:rsidR="00D66EA8">
        <w:rPr>
          <w:lang w:eastAsia="zh-CN"/>
        </w:rPr>
        <w:t xml:space="preserve"> though to a much less well developed degree than in humans</w:t>
      </w:r>
      <w:r w:rsidR="00DF318D">
        <w:rPr>
          <w:lang w:eastAsia="zh-CN"/>
        </w:rPr>
        <w:t>)</w:t>
      </w:r>
      <w:r>
        <w:rPr>
          <w:lang w:eastAsia="zh-CN"/>
        </w:rPr>
        <w:t>.</w:t>
      </w:r>
      <w:r>
        <w:rPr>
          <w:rStyle w:val="FootnoteReference"/>
          <w:lang w:eastAsia="zh-CN"/>
        </w:rPr>
        <w:footnoteReference w:id="10"/>
      </w:r>
      <w:r>
        <w:rPr>
          <w:lang w:eastAsia="zh-CN"/>
        </w:rPr>
        <w:t xml:space="preserve"> </w:t>
      </w:r>
    </w:p>
    <w:p w14:paraId="3D34475E" w14:textId="52E21B65" w:rsidR="00B8610C" w:rsidRDefault="004A79EE" w:rsidP="00B8610C">
      <w:pPr>
        <w:rPr>
          <w:lang w:eastAsia="zh-CN"/>
        </w:rPr>
      </w:pPr>
      <w:r>
        <w:rPr>
          <w:lang w:eastAsia="zh-CN"/>
        </w:rPr>
        <w:tab/>
        <w:t>C</w:t>
      </w:r>
      <w:r w:rsidR="00B8610C">
        <w:rPr>
          <w:lang w:eastAsia="zh-CN"/>
        </w:rPr>
        <w:t>oncealed within this</w:t>
      </w:r>
      <w:r w:rsidR="00DF318D">
        <w:rPr>
          <w:lang w:eastAsia="zh-CN"/>
        </w:rPr>
        <w:t xml:space="preserve"> “looking at </w:t>
      </w:r>
      <w:r w:rsidR="00DF318D" w:rsidRPr="00DF318D">
        <w:rPr>
          <w:i/>
          <w:lang w:eastAsia="zh-CN"/>
        </w:rPr>
        <w:t>something</w:t>
      </w:r>
      <w:r w:rsidR="00DF318D">
        <w:rPr>
          <w:lang w:eastAsia="zh-CN"/>
        </w:rPr>
        <w:t xml:space="preserve"> </w:t>
      </w:r>
      <w:proofErr w:type="gramStart"/>
      <w:r w:rsidR="00DF318D">
        <w:rPr>
          <w:lang w:eastAsia="zh-CN"/>
        </w:rPr>
        <w:t xml:space="preserve">together” </w:t>
      </w:r>
      <w:r w:rsidR="00B8610C">
        <w:rPr>
          <w:lang w:eastAsia="zh-CN"/>
        </w:rPr>
        <w:t xml:space="preserve"> </w:t>
      </w:r>
      <w:r>
        <w:rPr>
          <w:lang w:eastAsia="zh-CN"/>
        </w:rPr>
        <w:t>however</w:t>
      </w:r>
      <w:proofErr w:type="gramEnd"/>
      <w:r>
        <w:rPr>
          <w:lang w:eastAsia="zh-CN"/>
        </w:rPr>
        <w:t xml:space="preserve"> </w:t>
      </w:r>
      <w:r w:rsidR="00B8610C">
        <w:rPr>
          <w:lang w:eastAsia="zh-CN"/>
        </w:rPr>
        <w:t>is a further and largely i</w:t>
      </w:r>
      <w:r w:rsidR="00D3489D">
        <w:rPr>
          <w:lang w:eastAsia="zh-CN"/>
        </w:rPr>
        <w:t>mplicit level that we can call “</w:t>
      </w:r>
      <w:r w:rsidR="00B8610C">
        <w:rPr>
          <w:lang w:eastAsia="zh-CN"/>
        </w:rPr>
        <w:t>space and tim</w:t>
      </w:r>
      <w:r w:rsidR="00D3489D">
        <w:rPr>
          <w:lang w:eastAsia="zh-CN"/>
        </w:rPr>
        <w:t>e” or ‘world”. “Joint attention”</w:t>
      </w:r>
      <w:r w:rsidR="00B8610C">
        <w:rPr>
          <w:lang w:eastAsia="zh-CN"/>
        </w:rPr>
        <w:t xml:space="preserve"> </w:t>
      </w:r>
      <w:r w:rsidR="00753265">
        <w:rPr>
          <w:lang w:eastAsia="zh-CN"/>
        </w:rPr>
        <w:t xml:space="preserve">may be </w:t>
      </w:r>
      <w:r w:rsidR="00B8610C">
        <w:rPr>
          <w:lang w:eastAsia="zh-CN"/>
        </w:rPr>
        <w:t xml:space="preserve">a very intensive way of </w:t>
      </w:r>
      <w:r w:rsidR="00B8610C" w:rsidRPr="00925E22">
        <w:rPr>
          <w:i/>
          <w:lang w:eastAsia="zh-CN"/>
        </w:rPr>
        <w:t>sharing the world</w:t>
      </w:r>
      <w:r w:rsidR="00B8610C">
        <w:rPr>
          <w:lang w:eastAsia="zh-CN"/>
        </w:rPr>
        <w:t xml:space="preserve">, </w:t>
      </w:r>
      <w:r w:rsidR="001F1504">
        <w:rPr>
          <w:lang w:eastAsia="zh-CN"/>
        </w:rPr>
        <w:t xml:space="preserve">but </w:t>
      </w:r>
      <w:r w:rsidR="00B8610C">
        <w:rPr>
          <w:lang w:eastAsia="zh-CN"/>
        </w:rPr>
        <w:t>of course it is not world in itself that is the shared object of our attention. What becomes thematised and a topic of speech is something specific wit</w:t>
      </w:r>
      <w:r w:rsidR="00D3489D">
        <w:rPr>
          <w:lang w:eastAsia="zh-CN"/>
        </w:rPr>
        <w:t>hin the world. “Joint attention”</w:t>
      </w:r>
      <w:r w:rsidR="00B8610C">
        <w:rPr>
          <w:lang w:eastAsia="zh-CN"/>
        </w:rPr>
        <w:t xml:space="preserve"> is a practice that </w:t>
      </w:r>
      <w:r w:rsidR="00F21D63">
        <w:rPr>
          <w:lang w:eastAsia="zh-CN"/>
        </w:rPr>
        <w:t xml:space="preserve">presupposes shared reference </w:t>
      </w:r>
      <w:r w:rsidR="00613E0A">
        <w:rPr>
          <w:lang w:eastAsia="zh-CN"/>
        </w:rPr>
        <w:t xml:space="preserve">but also </w:t>
      </w:r>
      <w:r w:rsidR="00B8610C">
        <w:rPr>
          <w:lang w:eastAsia="zh-CN"/>
        </w:rPr>
        <w:t xml:space="preserve">that both parties are </w:t>
      </w:r>
      <w:r w:rsidR="00B8610C" w:rsidRPr="002412AB">
        <w:rPr>
          <w:i/>
          <w:lang w:eastAsia="zh-CN"/>
        </w:rPr>
        <w:t>in the same world</w:t>
      </w:r>
      <w:r w:rsidR="00B8610C">
        <w:rPr>
          <w:lang w:eastAsia="zh-CN"/>
        </w:rPr>
        <w:t xml:space="preserve">. </w:t>
      </w:r>
      <w:r w:rsidR="00D3489D">
        <w:rPr>
          <w:lang w:eastAsia="zh-CN"/>
        </w:rPr>
        <w:t>However, “</w:t>
      </w:r>
      <w:r w:rsidR="00613E0A">
        <w:rPr>
          <w:lang w:eastAsia="zh-CN"/>
        </w:rPr>
        <w:t>w</w:t>
      </w:r>
      <w:r w:rsidR="00D3489D">
        <w:rPr>
          <w:lang w:eastAsia="zh-CN"/>
        </w:rPr>
        <w:t>orld”</w:t>
      </w:r>
      <w:r w:rsidR="00B8610C">
        <w:rPr>
          <w:lang w:eastAsia="zh-CN"/>
        </w:rPr>
        <w:t xml:space="preserve"> – as a limitless environment within which we all find ourselves - is pre-thematically presupp</w:t>
      </w:r>
      <w:r w:rsidR="00DF318D">
        <w:rPr>
          <w:lang w:eastAsia="zh-CN"/>
        </w:rPr>
        <w:t>osed in “joint attention”</w:t>
      </w:r>
      <w:r w:rsidR="00613E0A">
        <w:rPr>
          <w:lang w:eastAsia="zh-CN"/>
        </w:rPr>
        <w:t>. A</w:t>
      </w:r>
      <w:r w:rsidR="00B8610C">
        <w:rPr>
          <w:lang w:eastAsia="zh-CN"/>
        </w:rPr>
        <w:t>s such, it cannot itself come</w:t>
      </w:r>
      <w:r w:rsidR="00D3489D">
        <w:rPr>
          <w:lang w:eastAsia="zh-CN"/>
        </w:rPr>
        <w:t xml:space="preserve"> directly to speech. We cannot “refer”</w:t>
      </w:r>
      <w:r w:rsidR="00B8610C">
        <w:rPr>
          <w:lang w:eastAsia="zh-CN"/>
        </w:rPr>
        <w:t xml:space="preserve"> to a limitless environment since what is unlimited cannot be set beside anything else: it cannot itself be poi</w:t>
      </w:r>
      <w:r w:rsidR="00D23D09">
        <w:rPr>
          <w:lang w:eastAsia="zh-CN"/>
        </w:rPr>
        <w:t xml:space="preserve">nted to and rendered thematic. </w:t>
      </w:r>
      <w:r>
        <w:rPr>
          <w:lang w:eastAsia="zh-CN"/>
        </w:rPr>
        <w:t>It can</w:t>
      </w:r>
      <w:r w:rsidR="00230922">
        <w:rPr>
          <w:lang w:eastAsia="zh-CN"/>
        </w:rPr>
        <w:t>not</w:t>
      </w:r>
      <w:r>
        <w:rPr>
          <w:lang w:eastAsia="zh-CN"/>
        </w:rPr>
        <w:t xml:space="preserve"> itself be placed within an ordered field of reference. </w:t>
      </w:r>
      <w:r w:rsidR="00D23D09">
        <w:rPr>
          <w:lang w:eastAsia="zh-CN"/>
        </w:rPr>
        <w:t xml:space="preserve">Here we can </w:t>
      </w:r>
      <w:r w:rsidR="001316A4">
        <w:rPr>
          <w:lang w:eastAsia="zh-CN"/>
        </w:rPr>
        <w:t xml:space="preserve">begin to see the force of </w:t>
      </w:r>
      <w:r w:rsidR="00D23D09">
        <w:rPr>
          <w:lang w:eastAsia="zh-CN"/>
        </w:rPr>
        <w:t xml:space="preserve">Yang’s argument that we need to address more than the capacity of language to refer, but also its capacity not to refer, </w:t>
      </w:r>
      <w:r w:rsidR="00D23D09" w:rsidRPr="00D23D09">
        <w:rPr>
          <w:i/>
          <w:lang w:eastAsia="zh-CN"/>
        </w:rPr>
        <w:t>as language</w:t>
      </w:r>
      <w:r w:rsidR="00D23D09">
        <w:rPr>
          <w:lang w:eastAsia="zh-CN"/>
        </w:rPr>
        <w:t xml:space="preserve">. This is the importance of </w:t>
      </w:r>
      <w:r w:rsidR="00D3489D">
        <w:rPr>
          <w:lang w:eastAsia="zh-CN"/>
        </w:rPr>
        <w:t>Derrida’s advocacy of learning “how not to speak”</w:t>
      </w:r>
      <w:r w:rsidR="00D23D09">
        <w:rPr>
          <w:lang w:eastAsia="zh-CN"/>
        </w:rPr>
        <w:t xml:space="preserve"> </w:t>
      </w:r>
      <w:r w:rsidR="00D3489D">
        <w:rPr>
          <w:lang w:eastAsia="zh-CN"/>
        </w:rPr>
        <w:t>and of avoiding “</w:t>
      </w:r>
      <w:r w:rsidR="00487B0A">
        <w:rPr>
          <w:lang w:eastAsia="zh-CN"/>
        </w:rPr>
        <w:t>this or that discu</w:t>
      </w:r>
      <w:r w:rsidR="00D3489D">
        <w:rPr>
          <w:lang w:eastAsia="zh-CN"/>
        </w:rPr>
        <w:t>rsive, logical, rhetorical mode”</w:t>
      </w:r>
      <w:r w:rsidR="00487B0A">
        <w:rPr>
          <w:lang w:eastAsia="zh-CN"/>
        </w:rPr>
        <w:t xml:space="preserve"> in the act of speaking.</w:t>
      </w:r>
      <w:r w:rsidR="00DF318D">
        <w:rPr>
          <w:rStyle w:val="FootnoteReference"/>
          <w:lang w:eastAsia="zh-CN"/>
        </w:rPr>
        <w:footnoteReference w:id="11"/>
      </w:r>
      <w:r w:rsidR="00487B0A">
        <w:rPr>
          <w:lang w:eastAsia="zh-CN"/>
        </w:rPr>
        <w:t xml:space="preserve"> Language can be present, and we can be </w:t>
      </w:r>
      <w:proofErr w:type="spellStart"/>
      <w:r w:rsidR="00487B0A">
        <w:rPr>
          <w:lang w:eastAsia="zh-CN"/>
        </w:rPr>
        <w:t>performatively</w:t>
      </w:r>
      <w:proofErr w:type="spellEnd"/>
      <w:r w:rsidR="00487B0A">
        <w:rPr>
          <w:lang w:eastAsia="zh-CN"/>
        </w:rPr>
        <w:t xml:space="preserve"> present in language, through learning to use</w:t>
      </w:r>
      <w:r w:rsidR="00037C70">
        <w:rPr>
          <w:lang w:eastAsia="zh-CN"/>
        </w:rPr>
        <w:t xml:space="preserve"> language non-discursively, or i</w:t>
      </w:r>
      <w:r w:rsidR="00487B0A">
        <w:rPr>
          <w:lang w:eastAsia="zh-CN"/>
        </w:rPr>
        <w:t xml:space="preserve">n a non-controlling manner. </w:t>
      </w:r>
      <w:r w:rsidR="00B00C8D">
        <w:rPr>
          <w:lang w:eastAsia="zh-CN"/>
        </w:rPr>
        <w:t xml:space="preserve">It is here, in its pre-thematic usage, that language signals our deepest commonalities as human beings, rather than as these particular human beings who share </w:t>
      </w:r>
      <w:r w:rsidR="00B00C8D" w:rsidRPr="00B00C8D">
        <w:rPr>
          <w:i/>
          <w:lang w:eastAsia="zh-CN"/>
        </w:rPr>
        <w:t>this</w:t>
      </w:r>
      <w:r w:rsidR="00B00C8D">
        <w:rPr>
          <w:lang w:eastAsia="zh-CN"/>
        </w:rPr>
        <w:t xml:space="preserve"> history and </w:t>
      </w:r>
      <w:r w:rsidR="00B00C8D" w:rsidRPr="00B00C8D">
        <w:rPr>
          <w:i/>
          <w:lang w:eastAsia="zh-CN"/>
        </w:rPr>
        <w:t>this</w:t>
      </w:r>
      <w:r w:rsidR="00B00C8D">
        <w:rPr>
          <w:lang w:eastAsia="zh-CN"/>
        </w:rPr>
        <w:t xml:space="preserve"> culture. </w:t>
      </w:r>
      <w:r w:rsidR="00487B0A">
        <w:rPr>
          <w:lang w:eastAsia="zh-CN"/>
        </w:rPr>
        <w:t xml:space="preserve"> </w:t>
      </w:r>
      <w:r w:rsidR="00D3489D">
        <w:rPr>
          <w:lang w:eastAsia="zh-CN"/>
        </w:rPr>
        <w:t>“Joint reference”</w:t>
      </w:r>
      <w:r w:rsidR="002A6507">
        <w:rPr>
          <w:lang w:eastAsia="zh-CN"/>
        </w:rPr>
        <w:t xml:space="preserve"> as shared history and culture is not undesirable in any sense, but it </w:t>
      </w:r>
      <w:r w:rsidR="00863094">
        <w:rPr>
          <w:lang w:eastAsia="zh-CN"/>
        </w:rPr>
        <w:t xml:space="preserve">is </w:t>
      </w:r>
      <w:r w:rsidR="00037C70">
        <w:rPr>
          <w:lang w:eastAsia="zh-CN"/>
        </w:rPr>
        <w:t xml:space="preserve">potentially </w:t>
      </w:r>
      <w:r w:rsidR="00863094">
        <w:rPr>
          <w:lang w:eastAsia="zh-CN"/>
        </w:rPr>
        <w:t xml:space="preserve">only a </w:t>
      </w:r>
      <w:r w:rsidR="00037C70">
        <w:rPr>
          <w:lang w:eastAsia="zh-CN"/>
        </w:rPr>
        <w:t xml:space="preserve">limited form of human cooperation to the extent that it </w:t>
      </w:r>
      <w:r w:rsidR="00230922">
        <w:rPr>
          <w:lang w:eastAsia="zh-CN"/>
        </w:rPr>
        <w:t xml:space="preserve">can also commonly be </w:t>
      </w:r>
      <w:r w:rsidR="002A6507">
        <w:rPr>
          <w:lang w:eastAsia="zh-CN"/>
        </w:rPr>
        <w:t xml:space="preserve">the ground of alienation and conflict between </w:t>
      </w:r>
      <w:r w:rsidR="00230922">
        <w:rPr>
          <w:lang w:eastAsia="zh-CN"/>
        </w:rPr>
        <w:t xml:space="preserve">different societies </w:t>
      </w:r>
      <w:r w:rsidR="002A6507">
        <w:rPr>
          <w:lang w:eastAsia="zh-CN"/>
        </w:rPr>
        <w:t>whose mem</w:t>
      </w:r>
      <w:r w:rsidR="000C428E">
        <w:rPr>
          <w:lang w:eastAsia="zh-CN"/>
        </w:rPr>
        <w:t xml:space="preserve">ories and cultures may be competitively aligned. </w:t>
      </w:r>
    </w:p>
    <w:p w14:paraId="22EA9F3D" w14:textId="77777777" w:rsidR="007522CC" w:rsidRDefault="007522CC" w:rsidP="00B8610C">
      <w:pPr>
        <w:rPr>
          <w:lang w:eastAsia="zh-CN"/>
        </w:rPr>
      </w:pPr>
    </w:p>
    <w:p w14:paraId="1DEBB936" w14:textId="5D07908D" w:rsidR="007522CC" w:rsidRDefault="00156349" w:rsidP="00B8610C">
      <w:pPr>
        <w:rPr>
          <w:lang w:eastAsia="zh-CN"/>
        </w:rPr>
      </w:pPr>
      <w:r>
        <w:rPr>
          <w:lang w:eastAsia="zh-CN"/>
        </w:rPr>
        <w:t>Niche Construction</w:t>
      </w:r>
    </w:p>
    <w:p w14:paraId="16126821" w14:textId="61E5503C" w:rsidR="00B4016D" w:rsidRDefault="008114B9" w:rsidP="00B8610C">
      <w:pPr>
        <w:rPr>
          <w:lang w:eastAsia="zh-CN"/>
        </w:rPr>
      </w:pPr>
      <w:r>
        <w:rPr>
          <w:lang w:eastAsia="zh-CN"/>
        </w:rPr>
        <w:t xml:space="preserve">This deeper, pre-thematic level of belonging invites us to introduce a further term here. </w:t>
      </w:r>
      <w:r w:rsidR="00D3489D">
        <w:rPr>
          <w:lang w:eastAsia="zh-CN"/>
        </w:rPr>
        <w:t>“</w:t>
      </w:r>
      <w:r w:rsidR="00D65A19">
        <w:rPr>
          <w:lang w:eastAsia="zh-CN"/>
        </w:rPr>
        <w:t>N</w:t>
      </w:r>
      <w:r w:rsidR="00D3489D">
        <w:rPr>
          <w:lang w:eastAsia="zh-CN"/>
        </w:rPr>
        <w:t xml:space="preserve">iche </w:t>
      </w:r>
      <w:proofErr w:type="gramStart"/>
      <w:r w:rsidR="00D3489D">
        <w:rPr>
          <w:lang w:eastAsia="zh-CN"/>
        </w:rPr>
        <w:t>construction”</w:t>
      </w:r>
      <w:r w:rsidR="006F42D0">
        <w:rPr>
          <w:lang w:eastAsia="zh-CN"/>
        </w:rPr>
        <w:t xml:space="preserve"> </w:t>
      </w:r>
      <w:r w:rsidR="00E83D7E">
        <w:rPr>
          <w:lang w:eastAsia="zh-CN"/>
        </w:rPr>
        <w:t xml:space="preserve"> is</w:t>
      </w:r>
      <w:proofErr w:type="gramEnd"/>
      <w:r w:rsidR="00E83D7E">
        <w:rPr>
          <w:lang w:eastAsia="zh-CN"/>
        </w:rPr>
        <w:t xml:space="preserve"> arguably the most important concept to emerge from the recent revolution in </w:t>
      </w:r>
      <w:r w:rsidR="00411E57">
        <w:rPr>
          <w:lang w:eastAsia="zh-CN"/>
        </w:rPr>
        <w:t>evolutionary science which has replace</w:t>
      </w:r>
      <w:r w:rsidR="00B4016D">
        <w:rPr>
          <w:lang w:eastAsia="zh-CN"/>
        </w:rPr>
        <w:t>d the orthodoxy of Neo-Darwin</w:t>
      </w:r>
      <w:r w:rsidR="00D3489D">
        <w:rPr>
          <w:lang w:eastAsia="zh-CN"/>
        </w:rPr>
        <w:t>ism (also known as the “modern synthesis”</w:t>
      </w:r>
      <w:r w:rsidR="00411E57">
        <w:rPr>
          <w:lang w:eastAsia="zh-CN"/>
        </w:rPr>
        <w:t xml:space="preserve">). The </w:t>
      </w:r>
      <w:r w:rsidR="00EB1479">
        <w:rPr>
          <w:lang w:eastAsia="zh-CN"/>
        </w:rPr>
        <w:t xml:space="preserve">so called ‘extended evolutionary synthesis’ (or EES) </w:t>
      </w:r>
      <w:r w:rsidR="00EB1479">
        <w:rPr>
          <w:lang w:eastAsia="zh-CN"/>
        </w:rPr>
        <w:lastRenderedPageBreak/>
        <w:t xml:space="preserve">replaces the </w:t>
      </w:r>
      <w:r w:rsidR="00C35121">
        <w:rPr>
          <w:lang w:eastAsia="zh-CN"/>
        </w:rPr>
        <w:t xml:space="preserve">Neo-Darwinian emphasis </w:t>
      </w:r>
      <w:r w:rsidR="00EB1479">
        <w:rPr>
          <w:lang w:eastAsia="zh-CN"/>
        </w:rPr>
        <w:t>on natural selection and random genetic variation with a very different account of how life on</w:t>
      </w:r>
      <w:r w:rsidR="00AA4ADB">
        <w:rPr>
          <w:lang w:eastAsia="zh-CN"/>
        </w:rPr>
        <w:t xml:space="preserve"> earth develops. </w:t>
      </w:r>
      <w:r w:rsidR="00314FDC">
        <w:rPr>
          <w:lang w:eastAsia="zh-CN"/>
        </w:rPr>
        <w:t xml:space="preserve">Above all, it </w:t>
      </w:r>
      <w:r w:rsidR="00AA4ADB">
        <w:rPr>
          <w:lang w:eastAsia="zh-CN"/>
        </w:rPr>
        <w:t xml:space="preserve">places an </w:t>
      </w:r>
      <w:r w:rsidR="00EB1479">
        <w:rPr>
          <w:lang w:eastAsia="zh-CN"/>
        </w:rPr>
        <w:t>emphasi</w:t>
      </w:r>
      <w:r w:rsidR="00AA4ADB">
        <w:rPr>
          <w:lang w:eastAsia="zh-CN"/>
        </w:rPr>
        <w:t xml:space="preserve">s on </w:t>
      </w:r>
      <w:r w:rsidR="00B4016D">
        <w:rPr>
          <w:lang w:eastAsia="zh-CN"/>
        </w:rPr>
        <w:t xml:space="preserve">the kinds of mutual influence that take place between a living organism (which moves and has a complex chemical structure) and its environment. These naturally occurring interactions in some degree shape both organism and environment </w:t>
      </w:r>
      <w:r w:rsidR="00B4016D" w:rsidRPr="00B4016D">
        <w:rPr>
          <w:i/>
          <w:lang w:eastAsia="zh-CN"/>
        </w:rPr>
        <w:t>before natural selection comes into effect</w:t>
      </w:r>
      <w:r w:rsidR="00B4016D">
        <w:rPr>
          <w:lang w:eastAsia="zh-CN"/>
        </w:rPr>
        <w:t xml:space="preserve">. Moreover, natural selection operates on the live organism within an environment, and not directly upon the genes (there is a highly complex relation between genes, as </w:t>
      </w:r>
      <w:r w:rsidR="001643BD">
        <w:rPr>
          <w:lang w:eastAsia="zh-CN"/>
        </w:rPr>
        <w:t xml:space="preserve">they are understood today, </w:t>
      </w:r>
      <w:r w:rsidR="00B4016D">
        <w:rPr>
          <w:lang w:eastAsia="zh-CN"/>
        </w:rPr>
        <w:t>and the actual behavioural features of th</w:t>
      </w:r>
      <w:r w:rsidR="00D3489D">
        <w:rPr>
          <w:lang w:eastAsia="zh-CN"/>
        </w:rPr>
        <w:t>e live animal or “phenotype”</w:t>
      </w:r>
      <w:r w:rsidR="00D65A19">
        <w:rPr>
          <w:lang w:eastAsia="zh-CN"/>
        </w:rPr>
        <w:t xml:space="preserve">). </w:t>
      </w:r>
      <w:r w:rsidR="00314FDC">
        <w:rPr>
          <w:lang w:eastAsia="zh-CN"/>
        </w:rPr>
        <w:t xml:space="preserve">And very significantly perhaps, </w:t>
      </w:r>
      <w:r w:rsidR="00B4016D">
        <w:rPr>
          <w:lang w:eastAsia="zh-CN"/>
        </w:rPr>
        <w:t>EES notes the priority of a</w:t>
      </w:r>
      <w:r w:rsidR="00D3489D">
        <w:rPr>
          <w:lang w:eastAsia="zh-CN"/>
        </w:rPr>
        <w:t xml:space="preserve"> “developmental plasticity” or “developmental bias”</w:t>
      </w:r>
      <w:r w:rsidR="00127F40">
        <w:rPr>
          <w:lang w:eastAsia="zh-CN"/>
        </w:rPr>
        <w:t xml:space="preserve"> within the relation between organisms and their environment. Organisms adapt more quickly than they should, in purely statistical terms, to environmental conditions. </w:t>
      </w:r>
      <w:r w:rsidR="00864836">
        <w:rPr>
          <w:lang w:eastAsia="zh-CN"/>
        </w:rPr>
        <w:t>This is a relation which is not determin</w:t>
      </w:r>
      <w:r w:rsidR="00483984">
        <w:rPr>
          <w:lang w:eastAsia="zh-CN"/>
        </w:rPr>
        <w:t xml:space="preserve">ed </w:t>
      </w:r>
      <w:r w:rsidR="00314FDC">
        <w:rPr>
          <w:lang w:eastAsia="zh-CN"/>
        </w:rPr>
        <w:t xml:space="preserve">purely </w:t>
      </w:r>
      <w:r w:rsidR="00483984">
        <w:rPr>
          <w:lang w:eastAsia="zh-CN"/>
        </w:rPr>
        <w:t>by</w:t>
      </w:r>
      <w:r w:rsidR="00864836">
        <w:rPr>
          <w:lang w:eastAsia="zh-CN"/>
        </w:rPr>
        <w:t xml:space="preserve"> random variation</w:t>
      </w:r>
      <w:r w:rsidR="00483984">
        <w:rPr>
          <w:lang w:eastAsia="zh-CN"/>
        </w:rPr>
        <w:t xml:space="preserve"> (though this has its part to play)</w:t>
      </w:r>
      <w:r w:rsidR="00864836">
        <w:rPr>
          <w:lang w:eastAsia="zh-CN"/>
        </w:rPr>
        <w:t xml:space="preserve"> but on what appears to be the innate propensity of life to move towards more complex forms</w:t>
      </w:r>
      <w:r w:rsidR="00483984">
        <w:rPr>
          <w:lang w:eastAsia="zh-CN"/>
        </w:rPr>
        <w:t>, within naturally occurring interactions</w:t>
      </w:r>
      <w:r w:rsidR="00864836">
        <w:rPr>
          <w:lang w:eastAsia="zh-CN"/>
        </w:rPr>
        <w:t>.</w:t>
      </w:r>
      <w:r w:rsidR="00936872">
        <w:rPr>
          <w:rStyle w:val="FootnoteReference"/>
          <w:lang w:eastAsia="zh-CN"/>
        </w:rPr>
        <w:footnoteReference w:id="12"/>
      </w:r>
    </w:p>
    <w:p w14:paraId="2FE68160" w14:textId="3D6B0A33" w:rsidR="00483984" w:rsidRDefault="00D3489D" w:rsidP="00B8610C">
      <w:pPr>
        <w:rPr>
          <w:lang w:eastAsia="zh-CN"/>
        </w:rPr>
      </w:pPr>
      <w:r>
        <w:rPr>
          <w:lang w:eastAsia="zh-CN"/>
        </w:rPr>
        <w:tab/>
        <w:t>The concept of “niche construction”</w:t>
      </w:r>
      <w:r w:rsidR="00483984">
        <w:rPr>
          <w:lang w:eastAsia="zh-CN"/>
        </w:rPr>
        <w:t xml:space="preserve"> is extended to all forms of life</w:t>
      </w:r>
      <w:r w:rsidR="007648CB">
        <w:rPr>
          <w:lang w:eastAsia="zh-CN"/>
        </w:rPr>
        <w:t xml:space="preserve">, and it can be summarized as the </w:t>
      </w:r>
      <w:r w:rsidR="002E5827">
        <w:rPr>
          <w:lang w:eastAsia="zh-CN"/>
        </w:rPr>
        <w:t xml:space="preserve">innate </w:t>
      </w:r>
      <w:r w:rsidR="007648CB">
        <w:rPr>
          <w:lang w:eastAsia="zh-CN"/>
        </w:rPr>
        <w:t>capacity of life to make itself at home on our planet</w:t>
      </w:r>
      <w:r w:rsidR="00483984">
        <w:rPr>
          <w:lang w:eastAsia="zh-CN"/>
        </w:rPr>
        <w:t xml:space="preserve">. </w:t>
      </w:r>
      <w:r w:rsidR="007648CB">
        <w:rPr>
          <w:lang w:eastAsia="zh-CN"/>
        </w:rPr>
        <w:t xml:space="preserve">But it takes a unique form in human beings. It is our capacity to </w:t>
      </w:r>
      <w:r w:rsidR="00970C12">
        <w:rPr>
          <w:lang w:eastAsia="zh-CN"/>
        </w:rPr>
        <w:t>connect with one another</w:t>
      </w:r>
      <w:r w:rsidR="00B81AEF">
        <w:rPr>
          <w:lang w:eastAsia="zh-CN"/>
        </w:rPr>
        <w:t>,</w:t>
      </w:r>
      <w:r w:rsidR="00970C12">
        <w:rPr>
          <w:lang w:eastAsia="zh-CN"/>
        </w:rPr>
        <w:t xml:space="preserve"> and so to build cooperative, communic</w:t>
      </w:r>
      <w:r>
        <w:rPr>
          <w:lang w:eastAsia="zh-CN"/>
        </w:rPr>
        <w:t>ative relations, through what anthropologists call “</w:t>
      </w:r>
      <w:proofErr w:type="spellStart"/>
      <w:r>
        <w:rPr>
          <w:lang w:eastAsia="zh-CN"/>
        </w:rPr>
        <w:t>hypercooperation</w:t>
      </w:r>
      <w:proofErr w:type="spellEnd"/>
      <w:r>
        <w:rPr>
          <w:lang w:eastAsia="zh-CN"/>
        </w:rPr>
        <w:t xml:space="preserve">” with one another, </w:t>
      </w:r>
      <w:proofErr w:type="gramStart"/>
      <w:r>
        <w:rPr>
          <w:lang w:eastAsia="zh-CN"/>
        </w:rPr>
        <w:t xml:space="preserve">which </w:t>
      </w:r>
      <w:r w:rsidR="00970C12">
        <w:rPr>
          <w:lang w:eastAsia="zh-CN"/>
        </w:rPr>
        <w:t xml:space="preserve"> is</w:t>
      </w:r>
      <w:proofErr w:type="gramEnd"/>
      <w:r w:rsidR="00970C12">
        <w:rPr>
          <w:lang w:eastAsia="zh-CN"/>
        </w:rPr>
        <w:t xml:space="preserve"> the bedrock of </w:t>
      </w:r>
      <w:r>
        <w:rPr>
          <w:lang w:eastAsia="zh-CN"/>
        </w:rPr>
        <w:t xml:space="preserve">how we </w:t>
      </w:r>
      <w:r w:rsidR="00970C12">
        <w:rPr>
          <w:lang w:eastAsia="zh-CN"/>
        </w:rPr>
        <w:t>make</w:t>
      </w:r>
      <w:r>
        <w:rPr>
          <w:lang w:eastAsia="zh-CN"/>
        </w:rPr>
        <w:t xml:space="preserve"> ourselves “at home”</w:t>
      </w:r>
      <w:r w:rsidR="00970C12">
        <w:rPr>
          <w:lang w:eastAsia="zh-CN"/>
        </w:rPr>
        <w:t xml:space="preserve"> in the world</w:t>
      </w:r>
      <w:r w:rsidR="00076FBE">
        <w:rPr>
          <w:lang w:eastAsia="zh-CN"/>
        </w:rPr>
        <w:t xml:space="preserve">. And arguably it is this </w:t>
      </w:r>
      <w:r>
        <w:rPr>
          <w:lang w:eastAsia="zh-CN"/>
        </w:rPr>
        <w:t xml:space="preserve">depth and range of our </w:t>
      </w:r>
      <w:proofErr w:type="gramStart"/>
      <w:r>
        <w:rPr>
          <w:lang w:eastAsia="zh-CN"/>
        </w:rPr>
        <w:t xml:space="preserve">cooperation </w:t>
      </w:r>
      <w:r w:rsidR="00970C12">
        <w:rPr>
          <w:lang w:eastAsia="zh-CN"/>
        </w:rPr>
        <w:t xml:space="preserve"> which</w:t>
      </w:r>
      <w:proofErr w:type="gramEnd"/>
      <w:r w:rsidR="00970C12">
        <w:rPr>
          <w:lang w:eastAsia="zh-CN"/>
        </w:rPr>
        <w:t xml:space="preserve"> is most distinctive </w:t>
      </w:r>
      <w:r w:rsidR="002E5827">
        <w:rPr>
          <w:lang w:eastAsia="zh-CN"/>
        </w:rPr>
        <w:t xml:space="preserve">about us as </w:t>
      </w:r>
      <w:r w:rsidR="00970C12">
        <w:rPr>
          <w:lang w:eastAsia="zh-CN"/>
        </w:rPr>
        <w:t>human beings</w:t>
      </w:r>
      <w:r w:rsidR="002E5827">
        <w:rPr>
          <w:lang w:eastAsia="zh-CN"/>
        </w:rPr>
        <w:t xml:space="preserve"> </w:t>
      </w:r>
      <w:r w:rsidR="000408B6">
        <w:rPr>
          <w:lang w:eastAsia="zh-CN"/>
        </w:rPr>
        <w:t xml:space="preserve">in all </w:t>
      </w:r>
      <w:r>
        <w:rPr>
          <w:lang w:eastAsia="zh-CN"/>
        </w:rPr>
        <w:t>sentient life. “Joint attention”</w:t>
      </w:r>
      <w:r w:rsidR="00076FBE">
        <w:rPr>
          <w:lang w:eastAsia="zh-CN"/>
        </w:rPr>
        <w:t xml:space="preserve"> presupposes a common world of referential meanings: it poses memory as history</w:t>
      </w:r>
      <w:r w:rsidR="00926640">
        <w:rPr>
          <w:lang w:eastAsia="zh-CN"/>
        </w:rPr>
        <w:t xml:space="preserve"> and </w:t>
      </w:r>
      <w:r w:rsidR="00076FBE">
        <w:rPr>
          <w:lang w:eastAsia="zh-CN"/>
        </w:rPr>
        <w:t xml:space="preserve">hope, </w:t>
      </w:r>
      <w:r w:rsidR="00926640">
        <w:rPr>
          <w:lang w:eastAsia="zh-CN"/>
        </w:rPr>
        <w:t xml:space="preserve">with its </w:t>
      </w:r>
      <w:r w:rsidR="00076FBE">
        <w:rPr>
          <w:lang w:eastAsia="zh-CN"/>
        </w:rPr>
        <w:t xml:space="preserve">future </w:t>
      </w:r>
      <w:r>
        <w:rPr>
          <w:lang w:eastAsia="zh-CN"/>
        </w:rPr>
        <w:t>orientation. Where there is “joint attention”</w:t>
      </w:r>
      <w:r w:rsidR="00076FBE">
        <w:rPr>
          <w:lang w:eastAsia="zh-CN"/>
        </w:rPr>
        <w:t>, there is a shared narrative of problems and achievements</w:t>
      </w:r>
      <w:r w:rsidR="0057536A">
        <w:rPr>
          <w:lang w:eastAsia="zh-CN"/>
        </w:rPr>
        <w:t>, shared hopes as well as disappointments.</w:t>
      </w:r>
      <w:r w:rsidR="002E5827">
        <w:rPr>
          <w:lang w:eastAsia="zh-CN"/>
        </w:rPr>
        <w:t xml:space="preserve"> The concept of niche cons</w:t>
      </w:r>
      <w:r>
        <w:rPr>
          <w:lang w:eastAsia="zh-CN"/>
        </w:rPr>
        <w:t>truction lies much deeper than “joint attention”</w:t>
      </w:r>
      <w:r w:rsidR="002E5827">
        <w:rPr>
          <w:lang w:eastAsia="zh-CN"/>
        </w:rPr>
        <w:t xml:space="preserve"> how</w:t>
      </w:r>
      <w:r w:rsidR="000408B6">
        <w:rPr>
          <w:lang w:eastAsia="zh-CN"/>
        </w:rPr>
        <w:t>ever, since it includes the non-self-</w:t>
      </w:r>
      <w:r w:rsidR="002E5827">
        <w:rPr>
          <w:lang w:eastAsia="zh-CN"/>
        </w:rPr>
        <w:t xml:space="preserve">aware </w:t>
      </w:r>
      <w:r w:rsidR="00A45DBA">
        <w:rPr>
          <w:lang w:eastAsia="zh-CN"/>
        </w:rPr>
        <w:t xml:space="preserve">life of the body as well as our </w:t>
      </w:r>
      <w:r w:rsidR="002E5827">
        <w:rPr>
          <w:lang w:eastAsia="zh-CN"/>
        </w:rPr>
        <w:t xml:space="preserve">conscious life. </w:t>
      </w:r>
      <w:r>
        <w:rPr>
          <w:lang w:eastAsia="zh-CN"/>
        </w:rPr>
        <w:t xml:space="preserve">More exactly, it asks </w:t>
      </w:r>
      <w:r w:rsidR="00926640">
        <w:rPr>
          <w:lang w:eastAsia="zh-CN"/>
        </w:rPr>
        <w:t>us to think in new ways precisely about</w:t>
      </w:r>
      <w:r w:rsidR="00757A6A">
        <w:rPr>
          <w:lang w:eastAsia="zh-CN"/>
        </w:rPr>
        <w:t xml:space="preserve"> the relation between our conscious self-awareness and the </w:t>
      </w:r>
      <w:r w:rsidR="00A45DBA">
        <w:rPr>
          <w:lang w:eastAsia="zh-CN"/>
        </w:rPr>
        <w:t xml:space="preserve">deep </w:t>
      </w:r>
      <w:r w:rsidR="00757A6A">
        <w:rPr>
          <w:lang w:eastAsia="zh-CN"/>
        </w:rPr>
        <w:t xml:space="preserve">life of the </w:t>
      </w:r>
      <w:r w:rsidR="00A45DBA">
        <w:rPr>
          <w:lang w:eastAsia="zh-CN"/>
        </w:rPr>
        <w:t xml:space="preserve">human </w:t>
      </w:r>
      <w:r w:rsidR="00757A6A">
        <w:rPr>
          <w:lang w:eastAsia="zh-CN"/>
        </w:rPr>
        <w:t xml:space="preserve">body. After all, </w:t>
      </w:r>
      <w:r w:rsidR="00345F4F">
        <w:rPr>
          <w:lang w:eastAsia="zh-CN"/>
        </w:rPr>
        <w:t>the mind observes</w:t>
      </w:r>
      <w:r>
        <w:rPr>
          <w:lang w:eastAsia="zh-CN"/>
        </w:rPr>
        <w:t xml:space="preserve"> and in some sense stands “outside”</w:t>
      </w:r>
      <w:r w:rsidR="007F3269">
        <w:rPr>
          <w:lang w:eastAsia="zh-CN"/>
        </w:rPr>
        <w:t xml:space="preserve"> the world</w:t>
      </w:r>
      <w:r w:rsidR="003365E2">
        <w:rPr>
          <w:lang w:eastAsia="zh-CN"/>
        </w:rPr>
        <w:t xml:space="preserve">, while it </w:t>
      </w:r>
      <w:r w:rsidR="00757A6A">
        <w:rPr>
          <w:lang w:eastAsia="zh-CN"/>
        </w:rPr>
        <w:t xml:space="preserve">is through the body’s </w:t>
      </w:r>
      <w:r w:rsidR="003C31D7">
        <w:rPr>
          <w:lang w:eastAsia="zh-CN"/>
        </w:rPr>
        <w:t xml:space="preserve">intensively socialized and socializing </w:t>
      </w:r>
      <w:r w:rsidR="00757A6A">
        <w:rPr>
          <w:lang w:eastAsia="zh-CN"/>
        </w:rPr>
        <w:t>life that we are rooted in the world.</w:t>
      </w:r>
    </w:p>
    <w:p w14:paraId="2D287FEE" w14:textId="1AB3250B" w:rsidR="00147A9A" w:rsidRDefault="00076FBE" w:rsidP="00B8610C">
      <w:pPr>
        <w:rPr>
          <w:lang w:eastAsia="zh-CN"/>
        </w:rPr>
      </w:pPr>
      <w:r>
        <w:rPr>
          <w:lang w:eastAsia="zh-CN"/>
        </w:rPr>
        <w:tab/>
      </w:r>
      <w:r w:rsidR="00345F4F">
        <w:rPr>
          <w:lang w:eastAsia="zh-CN"/>
        </w:rPr>
        <w:t>N</w:t>
      </w:r>
      <w:r>
        <w:rPr>
          <w:lang w:eastAsia="zh-CN"/>
        </w:rPr>
        <w:t xml:space="preserve">iche construction </w:t>
      </w:r>
      <w:r w:rsidR="00345F4F">
        <w:rPr>
          <w:lang w:eastAsia="zh-CN"/>
        </w:rPr>
        <w:t xml:space="preserve">then </w:t>
      </w:r>
      <w:r>
        <w:rPr>
          <w:lang w:eastAsia="zh-CN"/>
        </w:rPr>
        <w:t xml:space="preserve">points to </w:t>
      </w:r>
      <w:r w:rsidR="003C31D7">
        <w:rPr>
          <w:lang w:eastAsia="zh-CN"/>
        </w:rPr>
        <w:t xml:space="preserve">a </w:t>
      </w:r>
      <w:r w:rsidR="00345F4F">
        <w:rPr>
          <w:lang w:eastAsia="zh-CN"/>
        </w:rPr>
        <w:t xml:space="preserve">fundamental </w:t>
      </w:r>
      <w:r w:rsidR="003C31D7">
        <w:rPr>
          <w:lang w:eastAsia="zh-CN"/>
        </w:rPr>
        <w:t>dynamic</w:t>
      </w:r>
      <w:r w:rsidR="00D3489D">
        <w:rPr>
          <w:lang w:eastAsia="zh-CN"/>
        </w:rPr>
        <w:t xml:space="preserve"> that lie deeper than “perspective”</w:t>
      </w:r>
      <w:r w:rsidR="00345F4F">
        <w:rPr>
          <w:lang w:eastAsia="zh-CN"/>
        </w:rPr>
        <w:t xml:space="preserve">, since this </w:t>
      </w:r>
      <w:r w:rsidR="00D3489D">
        <w:rPr>
          <w:lang w:eastAsia="zh-CN"/>
        </w:rPr>
        <w:t>term, based on “looking”</w:t>
      </w:r>
      <w:r w:rsidR="001C2C4B">
        <w:rPr>
          <w:lang w:eastAsia="zh-CN"/>
        </w:rPr>
        <w:t xml:space="preserve"> (Latin: </w:t>
      </w:r>
      <w:proofErr w:type="spellStart"/>
      <w:r w:rsidR="001C2C4B" w:rsidRPr="001C2C4B">
        <w:rPr>
          <w:i/>
          <w:lang w:eastAsia="zh-CN"/>
        </w:rPr>
        <w:t>specere</w:t>
      </w:r>
      <w:proofErr w:type="spellEnd"/>
      <w:r w:rsidR="001C2C4B">
        <w:rPr>
          <w:lang w:eastAsia="zh-CN"/>
        </w:rPr>
        <w:t>)</w:t>
      </w:r>
      <w:r w:rsidR="003A5822">
        <w:rPr>
          <w:lang w:eastAsia="zh-CN"/>
        </w:rPr>
        <w:t>, presupp</w:t>
      </w:r>
      <w:r w:rsidR="00A855F5">
        <w:rPr>
          <w:lang w:eastAsia="zh-CN"/>
        </w:rPr>
        <w:t>oses the priority</w:t>
      </w:r>
      <w:r w:rsidR="00B81AEF">
        <w:rPr>
          <w:lang w:eastAsia="zh-CN"/>
        </w:rPr>
        <w:t xml:space="preserve"> of consciousness (i</w:t>
      </w:r>
      <w:r w:rsidR="001C2C4B">
        <w:rPr>
          <w:lang w:eastAsia="zh-CN"/>
        </w:rPr>
        <w:t xml:space="preserve">ts sixteenth century use as </w:t>
      </w:r>
      <w:proofErr w:type="spellStart"/>
      <w:r w:rsidR="001C2C4B" w:rsidRPr="001C2C4B">
        <w:rPr>
          <w:i/>
          <w:lang w:eastAsia="zh-CN"/>
        </w:rPr>
        <w:t>prospettiva</w:t>
      </w:r>
      <w:proofErr w:type="spellEnd"/>
      <w:r w:rsidR="001C2C4B">
        <w:rPr>
          <w:lang w:eastAsia="zh-CN"/>
        </w:rPr>
        <w:t xml:space="preserve"> in Italian art history </w:t>
      </w:r>
      <w:r w:rsidR="002A1006">
        <w:rPr>
          <w:lang w:eastAsia="zh-CN"/>
        </w:rPr>
        <w:t xml:space="preserve">indicates </w:t>
      </w:r>
      <w:r w:rsidR="001C2C4B">
        <w:rPr>
          <w:lang w:eastAsia="zh-CN"/>
        </w:rPr>
        <w:t>the innovative techniques which led to the appearance of pictorial distance or depth</w:t>
      </w:r>
      <w:r w:rsidR="00345F4F">
        <w:rPr>
          <w:rStyle w:val="FootnoteReference"/>
          <w:lang w:eastAsia="zh-CN"/>
        </w:rPr>
        <w:footnoteReference w:id="13"/>
      </w:r>
      <w:r w:rsidR="00B81AEF">
        <w:rPr>
          <w:lang w:eastAsia="zh-CN"/>
        </w:rPr>
        <w:t>)</w:t>
      </w:r>
      <w:r w:rsidR="001C2C4B">
        <w:rPr>
          <w:lang w:eastAsia="zh-CN"/>
        </w:rPr>
        <w:t>.</w:t>
      </w:r>
      <w:r w:rsidR="00345F4F">
        <w:rPr>
          <w:lang w:eastAsia="zh-CN"/>
        </w:rPr>
        <w:t xml:space="preserve"> W</w:t>
      </w:r>
      <w:r w:rsidR="00B81AEF">
        <w:rPr>
          <w:lang w:eastAsia="zh-CN"/>
        </w:rPr>
        <w:t xml:space="preserve">hat </w:t>
      </w:r>
      <w:r w:rsidR="002A19EB">
        <w:rPr>
          <w:lang w:eastAsia="zh-CN"/>
        </w:rPr>
        <w:t xml:space="preserve">contemporary neuroscience </w:t>
      </w:r>
      <w:r w:rsidR="00345F4F">
        <w:rPr>
          <w:lang w:eastAsia="zh-CN"/>
        </w:rPr>
        <w:t xml:space="preserve">confirms however </w:t>
      </w:r>
      <w:r w:rsidR="002A19EB">
        <w:rPr>
          <w:lang w:eastAsia="zh-CN"/>
        </w:rPr>
        <w:t xml:space="preserve">is that </w:t>
      </w:r>
      <w:r w:rsidR="00AA1136">
        <w:rPr>
          <w:lang w:eastAsia="zh-CN"/>
        </w:rPr>
        <w:t xml:space="preserve">we already very deeply belong in the world before consciousness is activated. </w:t>
      </w:r>
      <w:r w:rsidR="004D44D8">
        <w:rPr>
          <w:lang w:eastAsia="zh-CN"/>
        </w:rPr>
        <w:t xml:space="preserve">Moreover, this belonging is not just a matter of instincts and drives, as </w:t>
      </w:r>
      <w:r w:rsidR="002F64F4">
        <w:rPr>
          <w:lang w:eastAsia="zh-CN"/>
        </w:rPr>
        <w:t xml:space="preserve">is </w:t>
      </w:r>
      <w:r w:rsidR="004D44D8">
        <w:rPr>
          <w:lang w:eastAsia="zh-CN"/>
        </w:rPr>
        <w:t xml:space="preserve">commonly </w:t>
      </w:r>
      <w:r w:rsidR="002F64F4">
        <w:rPr>
          <w:lang w:eastAsia="zh-CN"/>
        </w:rPr>
        <w:t xml:space="preserve">thought. </w:t>
      </w:r>
      <w:r w:rsidR="00827761">
        <w:rPr>
          <w:lang w:eastAsia="zh-CN"/>
        </w:rPr>
        <w:t>It is also a question</w:t>
      </w:r>
      <w:r w:rsidR="00D3489D">
        <w:rPr>
          <w:lang w:eastAsia="zh-CN"/>
        </w:rPr>
        <w:t xml:space="preserve"> of our powers of reasoning </w:t>
      </w:r>
      <w:r w:rsidR="00D3489D">
        <w:rPr>
          <w:lang w:eastAsia="zh-CN"/>
        </w:rPr>
        <w:lastRenderedPageBreak/>
        <w:t>or “evaluation”</w:t>
      </w:r>
      <w:r w:rsidR="00827761">
        <w:rPr>
          <w:lang w:eastAsia="zh-CN"/>
        </w:rPr>
        <w:t xml:space="preserve">. Our bodies have evolved to read the high-speed communications of other bodies with us, in ways that lay the foundation for alliances, friendships and </w:t>
      </w:r>
      <w:r w:rsidR="002F64F4">
        <w:rPr>
          <w:lang w:eastAsia="zh-CN"/>
        </w:rPr>
        <w:t xml:space="preserve">other </w:t>
      </w:r>
      <w:r w:rsidR="00827761">
        <w:rPr>
          <w:lang w:eastAsia="zh-CN"/>
        </w:rPr>
        <w:t>forms of common action</w:t>
      </w:r>
      <w:r w:rsidR="002F64F4">
        <w:rPr>
          <w:lang w:eastAsia="zh-CN"/>
        </w:rPr>
        <w:t>, as we go</w:t>
      </w:r>
      <w:r w:rsidR="00D3489D">
        <w:rPr>
          <w:lang w:eastAsia="zh-CN"/>
        </w:rPr>
        <w:t xml:space="preserve"> about </w:t>
      </w:r>
      <w:proofErr w:type="gramStart"/>
      <w:r w:rsidR="00D3489D">
        <w:rPr>
          <w:lang w:eastAsia="zh-CN"/>
        </w:rPr>
        <w:t>constructing  the</w:t>
      </w:r>
      <w:proofErr w:type="gramEnd"/>
      <w:r w:rsidR="00D3489D">
        <w:rPr>
          <w:lang w:eastAsia="zh-CN"/>
        </w:rPr>
        <w:t xml:space="preserve"> human “niche”</w:t>
      </w:r>
      <w:r w:rsidR="0079546A">
        <w:rPr>
          <w:lang w:eastAsia="zh-CN"/>
        </w:rPr>
        <w:t xml:space="preserve"> together</w:t>
      </w:r>
      <w:r w:rsidR="00827761">
        <w:rPr>
          <w:lang w:eastAsia="zh-CN"/>
        </w:rPr>
        <w:t xml:space="preserve">. </w:t>
      </w:r>
      <w:r w:rsidR="002F502A">
        <w:rPr>
          <w:lang w:eastAsia="zh-CN"/>
        </w:rPr>
        <w:t>S</w:t>
      </w:r>
      <w:r w:rsidR="00827761">
        <w:rPr>
          <w:lang w:eastAsia="zh-CN"/>
        </w:rPr>
        <w:t xml:space="preserve">ince </w:t>
      </w:r>
      <w:r w:rsidR="00C37960">
        <w:rPr>
          <w:lang w:eastAsia="zh-CN"/>
        </w:rPr>
        <w:t xml:space="preserve">making highly accurate </w:t>
      </w:r>
      <w:r w:rsidR="00827761">
        <w:rPr>
          <w:lang w:eastAsia="zh-CN"/>
        </w:rPr>
        <w:t xml:space="preserve">evaluative discernments about the </w:t>
      </w:r>
      <w:r w:rsidR="00C37960">
        <w:rPr>
          <w:lang w:eastAsia="zh-CN"/>
        </w:rPr>
        <w:t xml:space="preserve">motivations of the other, and the </w:t>
      </w:r>
      <w:r w:rsidR="00827761">
        <w:rPr>
          <w:lang w:eastAsia="zh-CN"/>
        </w:rPr>
        <w:t>viab</w:t>
      </w:r>
      <w:r w:rsidR="00C37960">
        <w:rPr>
          <w:lang w:eastAsia="zh-CN"/>
        </w:rPr>
        <w:t xml:space="preserve">ility of our </w:t>
      </w:r>
      <w:r w:rsidR="00827761">
        <w:rPr>
          <w:lang w:eastAsia="zh-CN"/>
        </w:rPr>
        <w:t>relation</w:t>
      </w:r>
      <w:r w:rsidR="006B44C1">
        <w:rPr>
          <w:lang w:eastAsia="zh-CN"/>
        </w:rPr>
        <w:t>s</w:t>
      </w:r>
      <w:r w:rsidR="00827761">
        <w:rPr>
          <w:lang w:eastAsia="zh-CN"/>
        </w:rPr>
        <w:t xml:space="preserve"> with </w:t>
      </w:r>
      <w:r w:rsidR="00C37960">
        <w:rPr>
          <w:lang w:eastAsia="zh-CN"/>
        </w:rPr>
        <w:t>them, is key to our capacity to</w:t>
      </w:r>
      <w:r w:rsidR="0079546A">
        <w:rPr>
          <w:lang w:eastAsia="zh-CN"/>
        </w:rPr>
        <w:t xml:space="preserve"> build our </w:t>
      </w:r>
      <w:r w:rsidR="00C37960">
        <w:rPr>
          <w:lang w:eastAsia="zh-CN"/>
        </w:rPr>
        <w:t xml:space="preserve">niche, </w:t>
      </w:r>
      <w:r w:rsidR="00822ED5">
        <w:rPr>
          <w:lang w:eastAsia="zh-CN"/>
        </w:rPr>
        <w:t xml:space="preserve">natural selection has ensured that high level processes of social evaluation of the human other are at the centre of our embodied life. </w:t>
      </w:r>
      <w:r w:rsidR="00FF3B24">
        <w:rPr>
          <w:lang w:eastAsia="zh-CN"/>
        </w:rPr>
        <w:t xml:space="preserve">This is not discernment as the deliberative or free judgment of  our advanced linguistic consciousness, but it is </w:t>
      </w:r>
      <w:r w:rsidR="000E5E09">
        <w:rPr>
          <w:lang w:eastAsia="zh-CN"/>
        </w:rPr>
        <w:t xml:space="preserve">powerful </w:t>
      </w:r>
      <w:r w:rsidR="00FF3B24">
        <w:rPr>
          <w:lang w:eastAsia="zh-CN"/>
        </w:rPr>
        <w:t>evaluative discernment  nevertheless</w:t>
      </w:r>
      <w:r w:rsidR="004976DE">
        <w:rPr>
          <w:lang w:eastAsia="zh-CN"/>
        </w:rPr>
        <w:t xml:space="preserve">. This </w:t>
      </w:r>
      <w:r w:rsidR="00147A9A">
        <w:rPr>
          <w:lang w:eastAsia="zh-CN"/>
        </w:rPr>
        <w:t>includes the capacity to combine incommensurable sources</w:t>
      </w:r>
      <w:r w:rsidR="00D3489D">
        <w:rPr>
          <w:lang w:eastAsia="zh-CN"/>
        </w:rPr>
        <w:t xml:space="preserve"> of knowledge about the other (“live”</w:t>
      </w:r>
      <w:r w:rsidR="00147A9A">
        <w:rPr>
          <w:lang w:eastAsia="zh-CN"/>
        </w:rPr>
        <w:t xml:space="preserve"> inputs on the one hand and received, second-hand information on the other), through maintaining an open process of interactive evaluation.</w:t>
      </w:r>
    </w:p>
    <w:p w14:paraId="16C1FCC1" w14:textId="544A91A6" w:rsidR="00D52238" w:rsidRDefault="00D3489D" w:rsidP="00D52238">
      <w:pPr>
        <w:rPr>
          <w:lang w:eastAsia="zh-CN"/>
        </w:rPr>
      </w:pPr>
      <w:r>
        <w:rPr>
          <w:lang w:eastAsia="zh-CN"/>
        </w:rPr>
        <w:tab/>
        <w:t>“Joint reference”</w:t>
      </w:r>
      <w:r w:rsidR="004976DE">
        <w:rPr>
          <w:lang w:eastAsia="zh-CN"/>
        </w:rPr>
        <w:t xml:space="preserve"> presupposes the </w:t>
      </w:r>
      <w:r w:rsidR="00AA507C">
        <w:rPr>
          <w:lang w:eastAsia="zh-CN"/>
        </w:rPr>
        <w:t xml:space="preserve">priority of visual and other forms of </w:t>
      </w:r>
      <w:r w:rsidR="00311630">
        <w:rPr>
          <w:lang w:eastAsia="zh-CN"/>
        </w:rPr>
        <w:t xml:space="preserve">conscious </w:t>
      </w:r>
      <w:r w:rsidR="00AA507C">
        <w:rPr>
          <w:lang w:eastAsia="zh-CN"/>
        </w:rPr>
        <w:t>perception. The human social cognition or social bonding system</w:t>
      </w:r>
      <w:r w:rsidR="00533ECA">
        <w:rPr>
          <w:lang w:eastAsia="zh-CN"/>
        </w:rPr>
        <w:t>, however,</w:t>
      </w:r>
      <w:r w:rsidR="00AA507C">
        <w:rPr>
          <w:lang w:eastAsia="zh-CN"/>
        </w:rPr>
        <w:t xml:space="preserve"> operates at speeds </w:t>
      </w:r>
      <w:r w:rsidR="00B51410">
        <w:rPr>
          <w:lang w:eastAsia="zh-CN"/>
        </w:rPr>
        <w:t xml:space="preserve">and at a density </w:t>
      </w:r>
      <w:r w:rsidR="00AA507C">
        <w:rPr>
          <w:lang w:eastAsia="zh-CN"/>
        </w:rPr>
        <w:t xml:space="preserve">which lie beneath the threshold of conscious perceiving. </w:t>
      </w:r>
      <w:r w:rsidR="003C60D9">
        <w:rPr>
          <w:lang w:eastAsia="zh-CN"/>
        </w:rPr>
        <w:t xml:space="preserve">Reasoning is something we associate in particular with </w:t>
      </w:r>
      <w:r>
        <w:rPr>
          <w:lang w:eastAsia="zh-CN"/>
        </w:rPr>
        <w:t>the “</w:t>
      </w:r>
      <w:r w:rsidR="00FD0F10">
        <w:rPr>
          <w:lang w:eastAsia="zh-CN"/>
        </w:rPr>
        <w:t>free</w:t>
      </w:r>
      <w:r>
        <w:rPr>
          <w:lang w:eastAsia="zh-CN"/>
        </w:rPr>
        <w:t xml:space="preserve"> power of deliberative judgment”</w:t>
      </w:r>
      <w:r w:rsidR="00FD0F10">
        <w:rPr>
          <w:lang w:eastAsia="zh-CN"/>
        </w:rPr>
        <w:t xml:space="preserve"> which is intrinsic to our </w:t>
      </w:r>
      <w:r w:rsidR="00B51410">
        <w:rPr>
          <w:lang w:eastAsia="zh-CN"/>
        </w:rPr>
        <w:t xml:space="preserve">all-seeing, </w:t>
      </w:r>
      <w:r w:rsidR="00FD0F10">
        <w:rPr>
          <w:lang w:eastAsia="zh-CN"/>
        </w:rPr>
        <w:t>self-aware linguistic consciousness</w:t>
      </w:r>
      <w:r w:rsidR="00E00423">
        <w:rPr>
          <w:lang w:eastAsia="zh-CN"/>
        </w:rPr>
        <w:t xml:space="preserve">. </w:t>
      </w:r>
      <w:r>
        <w:rPr>
          <w:lang w:eastAsia="zh-CN"/>
        </w:rPr>
        <w:t>But neuroscience shows us that “reasoning”</w:t>
      </w:r>
      <w:r w:rsidR="00E00423">
        <w:rPr>
          <w:lang w:eastAsia="zh-CN"/>
        </w:rPr>
        <w:t xml:space="preserve"> in the sense of social evaluation already exists in a powerful, pre-linguistic form before deliberative, linguistic  consciousness becomes aware of it.</w:t>
      </w:r>
      <w:r w:rsidR="00311630">
        <w:rPr>
          <w:rStyle w:val="FootnoteReference"/>
          <w:lang w:eastAsia="zh-CN"/>
        </w:rPr>
        <w:footnoteReference w:id="14"/>
      </w:r>
      <w:r w:rsidR="00E00423">
        <w:rPr>
          <w:lang w:eastAsia="zh-CN"/>
        </w:rPr>
        <w:t xml:space="preserve"> We experience this evaluation </w:t>
      </w:r>
      <w:r w:rsidR="00256A3D">
        <w:rPr>
          <w:lang w:eastAsia="zh-CN"/>
        </w:rPr>
        <w:t xml:space="preserve">consciously </w:t>
      </w:r>
      <w:r>
        <w:rPr>
          <w:lang w:eastAsia="zh-CN"/>
        </w:rPr>
        <w:t>as an intuition or “feeling”</w:t>
      </w:r>
      <w:r w:rsidR="00E00423">
        <w:rPr>
          <w:lang w:eastAsia="zh-CN"/>
        </w:rPr>
        <w:t xml:space="preserve"> about the </w:t>
      </w:r>
      <w:r w:rsidR="00256A3D">
        <w:rPr>
          <w:lang w:eastAsia="zh-CN"/>
        </w:rPr>
        <w:t xml:space="preserve">human </w:t>
      </w:r>
      <w:r w:rsidR="00E00423">
        <w:rPr>
          <w:lang w:eastAsia="zh-CN"/>
        </w:rPr>
        <w:t xml:space="preserve">other. </w:t>
      </w:r>
      <w:r w:rsidR="00256A3D">
        <w:rPr>
          <w:lang w:eastAsia="zh-CN"/>
        </w:rPr>
        <w:t>Today then we have to unde</w:t>
      </w:r>
      <w:r>
        <w:rPr>
          <w:lang w:eastAsia="zh-CN"/>
        </w:rPr>
        <w:t xml:space="preserve">rstand this </w:t>
      </w:r>
      <w:r w:rsidR="00256A3D">
        <w:rPr>
          <w:lang w:eastAsia="zh-CN"/>
        </w:rPr>
        <w:t xml:space="preserve">as an invitation of our own body to come to meet it, as separated linguistic </w:t>
      </w:r>
      <w:r w:rsidR="00E64A69">
        <w:rPr>
          <w:lang w:eastAsia="zh-CN"/>
        </w:rPr>
        <w:t>consciousness. For us to do that, as self-awareness, is for us implicitly to renounce the controlling function of consciousness</w:t>
      </w:r>
      <w:r w:rsidR="00DF05A9">
        <w:rPr>
          <w:lang w:eastAsia="zh-CN"/>
        </w:rPr>
        <w:t xml:space="preserve">: a function which </w:t>
      </w:r>
      <w:r w:rsidR="00E64A69">
        <w:rPr>
          <w:lang w:eastAsia="zh-CN"/>
        </w:rPr>
        <w:t xml:space="preserve">evolved to reduce the complexity of the world, through </w:t>
      </w:r>
      <w:r w:rsidR="000A46A6">
        <w:rPr>
          <w:lang w:eastAsia="zh-CN"/>
        </w:rPr>
        <w:t xml:space="preserve">discursive </w:t>
      </w:r>
      <w:r w:rsidR="00DF05A9">
        <w:rPr>
          <w:lang w:eastAsia="zh-CN"/>
        </w:rPr>
        <w:t>knowledge and the pursuit of self-interest, and thus to make the world more manageable.</w:t>
      </w:r>
      <w:r w:rsidR="00842FE3">
        <w:rPr>
          <w:lang w:eastAsia="zh-CN"/>
        </w:rPr>
        <w:t xml:space="preserve"> Our body’s prompting</w:t>
      </w:r>
      <w:r w:rsidR="000A46A6">
        <w:rPr>
          <w:lang w:eastAsia="zh-CN"/>
        </w:rPr>
        <w:t xml:space="preserve">, on the other hand, </w:t>
      </w:r>
      <w:r w:rsidR="00842FE3">
        <w:rPr>
          <w:lang w:eastAsia="zh-CN"/>
        </w:rPr>
        <w:t>is</w:t>
      </w:r>
      <w:r w:rsidR="000A46A6">
        <w:rPr>
          <w:lang w:eastAsia="zh-CN"/>
        </w:rPr>
        <w:t xml:space="preserve"> an invitation to </w:t>
      </w:r>
      <w:r w:rsidR="000A46A6" w:rsidRPr="000A46A6">
        <w:rPr>
          <w:i/>
          <w:lang w:eastAsia="zh-CN"/>
        </w:rPr>
        <w:t>accept</w:t>
      </w:r>
      <w:r w:rsidR="000A46A6">
        <w:rPr>
          <w:lang w:eastAsia="zh-CN"/>
        </w:rPr>
        <w:t xml:space="preserve"> the complexity of the </w:t>
      </w:r>
      <w:r w:rsidR="00311630">
        <w:rPr>
          <w:lang w:eastAsia="zh-CN"/>
        </w:rPr>
        <w:t xml:space="preserve">world, as we encounter it in the </w:t>
      </w:r>
      <w:r w:rsidR="000A46A6">
        <w:rPr>
          <w:lang w:eastAsia="zh-CN"/>
        </w:rPr>
        <w:t xml:space="preserve">human other, and to do so with the </w:t>
      </w:r>
      <w:proofErr w:type="spellStart"/>
      <w:r w:rsidR="000A46A6">
        <w:rPr>
          <w:lang w:eastAsia="zh-CN"/>
        </w:rPr>
        <w:t>unconditionality</w:t>
      </w:r>
      <w:proofErr w:type="spellEnd"/>
      <w:r w:rsidR="000A46A6">
        <w:rPr>
          <w:lang w:eastAsia="zh-CN"/>
        </w:rPr>
        <w:t xml:space="preserve"> of friendship or close bonding. We can say at this point that, paradoxically, our own body inserts itself between our separated consciousness and the body of the human other, so t</w:t>
      </w:r>
      <w:r w:rsidR="00311630">
        <w:rPr>
          <w:lang w:eastAsia="zh-CN"/>
        </w:rPr>
        <w:t>hat in receiving the one we also receive</w:t>
      </w:r>
      <w:r w:rsidR="000A46A6">
        <w:rPr>
          <w:lang w:eastAsia="zh-CN"/>
        </w:rPr>
        <w:t xml:space="preserve"> the other. </w:t>
      </w:r>
      <w:r w:rsidR="00D52238">
        <w:rPr>
          <w:lang w:eastAsia="zh-CN"/>
        </w:rPr>
        <w:t xml:space="preserve">Here then at the point where the social mind and social body become one, we find, in a scientific version, an outline of what Yang </w:t>
      </w:r>
      <w:proofErr w:type="spellStart"/>
      <w:r w:rsidR="00D52238">
        <w:rPr>
          <w:lang w:eastAsia="zh-CN"/>
        </w:rPr>
        <w:t>Huilin</w:t>
      </w:r>
      <w:proofErr w:type="spellEnd"/>
      <w:r w:rsidR="00D52238">
        <w:rPr>
          <w:lang w:eastAsia="zh-CN"/>
        </w:rPr>
        <w:t xml:space="preserve"> means by the realization of the unity of </w:t>
      </w:r>
      <w:proofErr w:type="spellStart"/>
      <w:r w:rsidR="00D52238" w:rsidRPr="00854A1C">
        <w:rPr>
          <w:i/>
          <w:lang w:eastAsia="zh-CN"/>
        </w:rPr>
        <w:t>zhi</w:t>
      </w:r>
      <w:proofErr w:type="spellEnd"/>
      <w:r w:rsidR="00D52238">
        <w:rPr>
          <w:lang w:eastAsia="zh-CN"/>
        </w:rPr>
        <w:t xml:space="preserve"> </w:t>
      </w:r>
      <w:r w:rsidR="00FE405E">
        <w:rPr>
          <w:rFonts w:ascii="Garamond" w:hAnsi="Garamond" w:hint="eastAsia"/>
          <w:b/>
          <w:lang w:eastAsia="zh-CN"/>
        </w:rPr>
        <w:t>(</w:t>
      </w:r>
      <w:r w:rsidR="00FE405E">
        <w:rPr>
          <w:rFonts w:ascii="Garamond" w:hAnsi="Garamond" w:hint="eastAsia"/>
          <w:b/>
          <w:lang w:eastAsia="zh-CN"/>
        </w:rPr>
        <w:t>知</w:t>
      </w:r>
      <w:r w:rsidR="00FE405E">
        <w:rPr>
          <w:rFonts w:ascii="Garamond" w:hAnsi="Garamond"/>
          <w:b/>
          <w:lang w:eastAsia="zh-CN"/>
        </w:rPr>
        <w:t xml:space="preserve">) </w:t>
      </w:r>
      <w:r w:rsidR="00D52238">
        <w:rPr>
          <w:lang w:eastAsia="zh-CN"/>
        </w:rPr>
        <w:t xml:space="preserve">as ‘knowing’ and </w:t>
      </w:r>
      <w:proofErr w:type="spellStart"/>
      <w:r w:rsidR="00D52238" w:rsidRPr="00854A1C">
        <w:rPr>
          <w:i/>
          <w:lang w:eastAsia="zh-CN"/>
        </w:rPr>
        <w:t>xing</w:t>
      </w:r>
      <w:proofErr w:type="spellEnd"/>
      <w:r w:rsidR="00D52238">
        <w:rPr>
          <w:lang w:eastAsia="zh-CN"/>
        </w:rPr>
        <w:t xml:space="preserve"> </w:t>
      </w:r>
      <w:r w:rsidR="00FE405E">
        <w:rPr>
          <w:rFonts w:ascii="Garamond" w:hAnsi="Garamond" w:hint="eastAsia"/>
          <w:b/>
          <w:lang w:eastAsia="zh-CN"/>
        </w:rPr>
        <w:t>(</w:t>
      </w:r>
      <w:r w:rsidR="00FE405E">
        <w:rPr>
          <w:rFonts w:ascii="Garamond" w:hAnsi="Garamond" w:hint="eastAsia"/>
          <w:b/>
          <w:lang w:eastAsia="zh-CN"/>
        </w:rPr>
        <w:t>行</w:t>
      </w:r>
      <w:r w:rsidR="00FE405E">
        <w:rPr>
          <w:rFonts w:ascii="Garamond" w:hAnsi="Garamond"/>
          <w:b/>
          <w:lang w:eastAsia="zh-CN"/>
        </w:rPr>
        <w:t xml:space="preserve">) </w:t>
      </w:r>
      <w:r>
        <w:rPr>
          <w:lang w:eastAsia="zh-CN"/>
        </w:rPr>
        <w:t>as “application”</w:t>
      </w:r>
      <w:r w:rsidR="00D52238">
        <w:rPr>
          <w:lang w:eastAsia="zh-CN"/>
        </w:rPr>
        <w:t xml:space="preserve">, in the light of </w:t>
      </w:r>
      <w:proofErr w:type="spellStart"/>
      <w:r w:rsidR="00D52238" w:rsidRPr="00A05792">
        <w:rPr>
          <w:i/>
          <w:lang w:eastAsia="zh-CN"/>
        </w:rPr>
        <w:t>ti</w:t>
      </w:r>
      <w:proofErr w:type="spellEnd"/>
      <w:r w:rsidR="00D52238" w:rsidRPr="00A05792">
        <w:rPr>
          <w:i/>
          <w:lang w:eastAsia="zh-CN"/>
        </w:rPr>
        <w:t xml:space="preserve"> </w:t>
      </w:r>
      <w:proofErr w:type="spellStart"/>
      <w:r w:rsidR="00D52238" w:rsidRPr="00A05792">
        <w:rPr>
          <w:i/>
          <w:lang w:eastAsia="zh-CN"/>
        </w:rPr>
        <w:t>yong</w:t>
      </w:r>
      <w:proofErr w:type="spellEnd"/>
      <w:r w:rsidR="00D52238" w:rsidRPr="00A05792">
        <w:rPr>
          <w:i/>
          <w:lang w:eastAsia="zh-CN"/>
        </w:rPr>
        <w:t xml:space="preserve"> </w:t>
      </w:r>
      <w:proofErr w:type="spellStart"/>
      <w:r w:rsidR="00D52238" w:rsidRPr="00A05792">
        <w:rPr>
          <w:i/>
          <w:lang w:eastAsia="zh-CN"/>
        </w:rPr>
        <w:t>yi</w:t>
      </w:r>
      <w:proofErr w:type="spellEnd"/>
      <w:r w:rsidR="00D52238" w:rsidRPr="00A05792">
        <w:rPr>
          <w:i/>
          <w:lang w:eastAsia="zh-CN"/>
        </w:rPr>
        <w:t xml:space="preserve"> yuan </w:t>
      </w:r>
      <w:r w:rsidR="00D52238" w:rsidRPr="00A05792">
        <w:rPr>
          <w:lang w:eastAsia="zh-CN"/>
        </w:rPr>
        <w:t>体用一源</w:t>
      </w:r>
      <w:r>
        <w:rPr>
          <w:lang w:eastAsia="zh-CN"/>
        </w:rPr>
        <w:t xml:space="preserve"> or the principle that “</w:t>
      </w:r>
      <w:r w:rsidR="00D52238">
        <w:rPr>
          <w:lang w:eastAsia="zh-CN"/>
        </w:rPr>
        <w:t>substance</w:t>
      </w:r>
      <w:r>
        <w:rPr>
          <w:lang w:eastAsia="zh-CN"/>
        </w:rPr>
        <w:t xml:space="preserve"> and embodiment have one source”</w:t>
      </w:r>
      <w:r w:rsidR="00D52238">
        <w:rPr>
          <w:lang w:eastAsia="zh-CN"/>
        </w:rPr>
        <w:t>.</w:t>
      </w:r>
    </w:p>
    <w:p w14:paraId="364159D8" w14:textId="65EDCE95" w:rsidR="000A46A6" w:rsidRDefault="000A46A6" w:rsidP="00B8610C">
      <w:pPr>
        <w:rPr>
          <w:lang w:eastAsia="zh-CN"/>
        </w:rPr>
      </w:pPr>
    </w:p>
    <w:p w14:paraId="66C4B72B" w14:textId="4D4438F2" w:rsidR="00CB698A" w:rsidRDefault="00156349" w:rsidP="00CB698A">
      <w:pPr>
        <w:rPr>
          <w:lang w:eastAsia="zh-CN"/>
        </w:rPr>
      </w:pPr>
      <w:r>
        <w:rPr>
          <w:lang w:eastAsia="zh-CN"/>
        </w:rPr>
        <w:t>Participative Sense-making</w:t>
      </w:r>
    </w:p>
    <w:p w14:paraId="66E85FE7" w14:textId="1B73C3E1" w:rsidR="00016C7A" w:rsidRDefault="00311630" w:rsidP="00CB698A">
      <w:pPr>
        <w:rPr>
          <w:lang w:eastAsia="zh-CN"/>
        </w:rPr>
      </w:pPr>
      <w:r>
        <w:rPr>
          <w:lang w:eastAsia="zh-CN"/>
        </w:rPr>
        <w:t>This configuration of an “in-between”</w:t>
      </w:r>
      <w:r w:rsidR="00BF24B5">
        <w:rPr>
          <w:lang w:eastAsia="zh-CN"/>
        </w:rPr>
        <w:t xml:space="preserve"> – the space between persons – </w:t>
      </w:r>
      <w:r w:rsidR="00F84F1C">
        <w:rPr>
          <w:lang w:eastAsia="zh-CN"/>
        </w:rPr>
        <w:t xml:space="preserve">as the potential place for the emergence of a new kind of mind-body unity, in the practice of human bonding, lays the foundation for </w:t>
      </w:r>
      <w:r w:rsidR="00224848">
        <w:rPr>
          <w:lang w:eastAsia="zh-CN"/>
        </w:rPr>
        <w:t xml:space="preserve">our third key term: </w:t>
      </w:r>
      <w:r>
        <w:rPr>
          <w:lang w:eastAsia="zh-CN"/>
        </w:rPr>
        <w:t>“</w:t>
      </w:r>
      <w:proofErr w:type="gramStart"/>
      <w:r>
        <w:rPr>
          <w:lang w:eastAsia="zh-CN"/>
        </w:rPr>
        <w:t>participat</w:t>
      </w:r>
      <w:r w:rsidR="003D6719">
        <w:rPr>
          <w:lang w:eastAsia="zh-CN"/>
        </w:rPr>
        <w:t xml:space="preserve">ive  </w:t>
      </w:r>
      <w:r>
        <w:rPr>
          <w:lang w:eastAsia="zh-CN"/>
        </w:rPr>
        <w:t>sense</w:t>
      </w:r>
      <w:proofErr w:type="gramEnd"/>
      <w:r>
        <w:rPr>
          <w:lang w:eastAsia="zh-CN"/>
        </w:rPr>
        <w:t>-making”</w:t>
      </w:r>
      <w:r w:rsidR="00AF55CA">
        <w:rPr>
          <w:lang w:eastAsia="zh-CN"/>
        </w:rPr>
        <w:t xml:space="preserve">. This </w:t>
      </w:r>
      <w:r w:rsidR="00CB698A">
        <w:rPr>
          <w:lang w:eastAsia="zh-CN"/>
        </w:rPr>
        <w:t xml:space="preserve">was </w:t>
      </w:r>
      <w:r w:rsidR="00224848">
        <w:rPr>
          <w:lang w:eastAsia="zh-CN"/>
        </w:rPr>
        <w:t xml:space="preserve">first </w:t>
      </w:r>
      <w:r w:rsidR="00CB698A">
        <w:rPr>
          <w:lang w:eastAsia="zh-CN"/>
        </w:rPr>
        <w:t xml:space="preserve">generated in the </w:t>
      </w:r>
      <w:proofErr w:type="spellStart"/>
      <w:r w:rsidR="00D754CB">
        <w:rPr>
          <w:lang w:eastAsia="zh-CN"/>
        </w:rPr>
        <w:t>enactivist</w:t>
      </w:r>
      <w:proofErr w:type="spellEnd"/>
      <w:r w:rsidR="00D754CB">
        <w:rPr>
          <w:lang w:eastAsia="zh-CN"/>
        </w:rPr>
        <w:t xml:space="preserve"> school </w:t>
      </w:r>
      <w:r w:rsidR="00CB698A">
        <w:rPr>
          <w:lang w:eastAsia="zh-CN"/>
        </w:rPr>
        <w:t xml:space="preserve">of the neurology of social cognition, and it refers precisely to the </w:t>
      </w:r>
      <w:r>
        <w:rPr>
          <w:lang w:eastAsia="zh-CN"/>
        </w:rPr>
        <w:t xml:space="preserve">defining dynamic </w:t>
      </w:r>
      <w:r w:rsidR="00CB698A">
        <w:rPr>
          <w:lang w:eastAsia="zh-CN"/>
        </w:rPr>
        <w:t>social cognition system, wh</w:t>
      </w:r>
      <w:r>
        <w:rPr>
          <w:lang w:eastAsia="zh-CN"/>
        </w:rPr>
        <w:t xml:space="preserve">ich is that </w:t>
      </w:r>
      <w:r w:rsidR="00CB698A">
        <w:rPr>
          <w:lang w:eastAsia="zh-CN"/>
        </w:rPr>
        <w:t>one body intelligently and interactively reads another.</w:t>
      </w:r>
      <w:r w:rsidR="00337FF4">
        <w:rPr>
          <w:rStyle w:val="FootnoteReference"/>
          <w:lang w:eastAsia="zh-CN"/>
        </w:rPr>
        <w:footnoteReference w:id="15"/>
      </w:r>
      <w:r w:rsidR="00CB698A">
        <w:rPr>
          <w:lang w:eastAsia="zh-CN"/>
        </w:rPr>
        <w:t xml:space="preserve"> </w:t>
      </w:r>
      <w:r w:rsidR="00224848">
        <w:rPr>
          <w:lang w:eastAsia="zh-CN"/>
        </w:rPr>
        <w:t xml:space="preserve">The account of the human that is suggested by this phrase </w:t>
      </w:r>
      <w:r w:rsidR="00224848">
        <w:rPr>
          <w:lang w:eastAsia="zh-CN"/>
        </w:rPr>
        <w:lastRenderedPageBreak/>
        <w:t xml:space="preserve">seems </w:t>
      </w:r>
      <w:r w:rsidR="00CB698A">
        <w:rPr>
          <w:lang w:eastAsia="zh-CN"/>
        </w:rPr>
        <w:t xml:space="preserve">markedly different from </w:t>
      </w:r>
      <w:r w:rsidR="00224848">
        <w:rPr>
          <w:lang w:eastAsia="zh-CN"/>
        </w:rPr>
        <w:t xml:space="preserve">many </w:t>
      </w:r>
      <w:r w:rsidR="00CB698A">
        <w:rPr>
          <w:lang w:eastAsia="zh-CN"/>
        </w:rPr>
        <w:t>of the dominant pa</w:t>
      </w:r>
      <w:r w:rsidR="00C51574">
        <w:rPr>
          <w:lang w:eastAsia="zh-CN"/>
        </w:rPr>
        <w:t xml:space="preserve">radigms we have had in the West, </w:t>
      </w:r>
      <w:r w:rsidR="00CB698A">
        <w:rPr>
          <w:lang w:eastAsia="zh-CN"/>
        </w:rPr>
        <w:t xml:space="preserve">in recent times. It does not stress the separateness of the self from the world, or our cognitive autonomy. It </w:t>
      </w:r>
      <w:r w:rsidR="00016C7A">
        <w:rPr>
          <w:lang w:eastAsia="zh-CN"/>
        </w:rPr>
        <w:t xml:space="preserve">firmly states </w:t>
      </w:r>
      <w:r w:rsidR="00CB698A">
        <w:rPr>
          <w:lang w:eastAsia="zh-CN"/>
        </w:rPr>
        <w:t xml:space="preserve">rather the extent to which we are </w:t>
      </w:r>
      <w:proofErr w:type="gramStart"/>
      <w:r w:rsidR="00CB698A">
        <w:rPr>
          <w:lang w:eastAsia="zh-CN"/>
        </w:rPr>
        <w:t xml:space="preserve">inseparably  </w:t>
      </w:r>
      <w:r w:rsidR="00CB698A" w:rsidRPr="005E650D">
        <w:rPr>
          <w:i/>
          <w:lang w:eastAsia="zh-CN"/>
        </w:rPr>
        <w:t>in</w:t>
      </w:r>
      <w:proofErr w:type="gramEnd"/>
      <w:r w:rsidR="00CB698A">
        <w:rPr>
          <w:lang w:eastAsia="zh-CN"/>
        </w:rPr>
        <w:t xml:space="preserve"> the world but are so precisely in terms of our most basic form of cognition</w:t>
      </w:r>
      <w:r w:rsidR="00AF55CA">
        <w:rPr>
          <w:lang w:eastAsia="zh-CN"/>
        </w:rPr>
        <w:t>, which is social</w:t>
      </w:r>
      <w:r w:rsidR="00CB698A">
        <w:rPr>
          <w:lang w:eastAsia="zh-CN"/>
        </w:rPr>
        <w:t xml:space="preserve">. This </w:t>
      </w:r>
      <w:r w:rsidR="00016C7A">
        <w:rPr>
          <w:lang w:eastAsia="zh-CN"/>
        </w:rPr>
        <w:t xml:space="preserve">is not </w:t>
      </w:r>
      <w:r w:rsidR="00CB698A">
        <w:rPr>
          <w:lang w:eastAsia="zh-CN"/>
        </w:rPr>
        <w:t xml:space="preserve">the cognition of our self-aware consciousness therefore, by which we are an ‘external’ and controlling </w:t>
      </w:r>
      <w:r w:rsidR="00912611">
        <w:rPr>
          <w:lang w:eastAsia="zh-CN"/>
        </w:rPr>
        <w:t>observer. R</w:t>
      </w:r>
      <w:r w:rsidR="00CB698A">
        <w:rPr>
          <w:lang w:eastAsia="zh-CN"/>
        </w:rPr>
        <w:t xml:space="preserve">ather </w:t>
      </w:r>
      <w:r w:rsidR="00912611">
        <w:rPr>
          <w:lang w:eastAsia="zh-CN"/>
        </w:rPr>
        <w:t xml:space="preserve">it is </w:t>
      </w:r>
      <w:r w:rsidR="00016C7A">
        <w:rPr>
          <w:lang w:eastAsia="zh-CN"/>
        </w:rPr>
        <w:t xml:space="preserve">the kind of cognition we do as </w:t>
      </w:r>
      <w:r w:rsidR="00AF55CA">
        <w:rPr>
          <w:lang w:eastAsia="zh-CN"/>
        </w:rPr>
        <w:t xml:space="preserve">social </w:t>
      </w:r>
      <w:r w:rsidR="00CB698A">
        <w:rPr>
          <w:lang w:eastAsia="zh-CN"/>
        </w:rPr>
        <w:t>participant</w:t>
      </w:r>
      <w:r w:rsidR="00016C7A">
        <w:rPr>
          <w:lang w:eastAsia="zh-CN"/>
        </w:rPr>
        <w:t>, in close encounter</w:t>
      </w:r>
      <w:r w:rsidR="00580F33">
        <w:rPr>
          <w:lang w:eastAsia="zh-CN"/>
        </w:rPr>
        <w:t>,</w:t>
      </w:r>
      <w:r w:rsidR="00016C7A">
        <w:rPr>
          <w:lang w:eastAsia="zh-CN"/>
        </w:rPr>
        <w:t xml:space="preserve"> whereby </w:t>
      </w:r>
      <w:r w:rsidR="00580F33">
        <w:rPr>
          <w:lang w:eastAsia="zh-CN"/>
        </w:rPr>
        <w:t xml:space="preserve">evaluating </w:t>
      </w:r>
      <w:r w:rsidR="00016C7A">
        <w:rPr>
          <w:lang w:eastAsia="zh-CN"/>
        </w:rPr>
        <w:t xml:space="preserve">body </w:t>
      </w:r>
      <w:r w:rsidR="00912611">
        <w:rPr>
          <w:lang w:eastAsia="zh-CN"/>
        </w:rPr>
        <w:t xml:space="preserve">and self-aware mind </w:t>
      </w:r>
      <w:r w:rsidR="00016C7A">
        <w:rPr>
          <w:lang w:eastAsia="zh-CN"/>
        </w:rPr>
        <w:t>become one</w:t>
      </w:r>
      <w:r w:rsidR="00CB698A">
        <w:rPr>
          <w:lang w:eastAsia="zh-CN"/>
        </w:rPr>
        <w:t>.</w:t>
      </w:r>
      <w:r w:rsidR="003D6719">
        <w:rPr>
          <w:rStyle w:val="FootnoteReference"/>
          <w:lang w:eastAsia="zh-CN"/>
        </w:rPr>
        <w:footnoteReference w:id="16"/>
      </w:r>
    </w:p>
    <w:p w14:paraId="6E934B42" w14:textId="58F7B4D7" w:rsidR="00580F33" w:rsidRDefault="00580F33" w:rsidP="00CB698A">
      <w:pPr>
        <w:rPr>
          <w:lang w:eastAsia="zh-CN"/>
        </w:rPr>
      </w:pPr>
      <w:r>
        <w:rPr>
          <w:lang w:eastAsia="zh-CN"/>
        </w:rPr>
        <w:tab/>
        <w:t>Illumined by contemporary science, this moment of personal cognitive interact</w:t>
      </w:r>
      <w:r w:rsidR="00CF7355">
        <w:rPr>
          <w:lang w:eastAsia="zh-CN"/>
        </w:rPr>
        <w:t>ion between human beings – our “participative sense-making”</w:t>
      </w:r>
      <w:r>
        <w:rPr>
          <w:lang w:eastAsia="zh-CN"/>
        </w:rPr>
        <w:t xml:space="preserve"> of each other </w:t>
      </w:r>
      <w:r w:rsidR="00BC15A3">
        <w:rPr>
          <w:lang w:eastAsia="zh-CN"/>
        </w:rPr>
        <w:t>–</w:t>
      </w:r>
      <w:r>
        <w:rPr>
          <w:lang w:eastAsia="zh-CN"/>
        </w:rPr>
        <w:t xml:space="preserve"> </w:t>
      </w:r>
      <w:r w:rsidR="00BC15A3">
        <w:rPr>
          <w:lang w:eastAsia="zh-CN"/>
        </w:rPr>
        <w:t xml:space="preserve">has two distinctive features. In the first place it marks the </w:t>
      </w:r>
      <w:r w:rsidR="00F042C0">
        <w:rPr>
          <w:lang w:eastAsia="zh-CN"/>
        </w:rPr>
        <w:t xml:space="preserve">potential of the closing of </w:t>
      </w:r>
      <w:r w:rsidR="00BC15A3">
        <w:rPr>
          <w:lang w:eastAsia="zh-CN"/>
        </w:rPr>
        <w:t xml:space="preserve">the deep tension </w:t>
      </w:r>
      <w:r w:rsidR="00912611">
        <w:rPr>
          <w:lang w:eastAsia="zh-CN"/>
        </w:rPr>
        <w:t xml:space="preserve">that exists </w:t>
      </w:r>
      <w:r w:rsidR="00BC15A3">
        <w:rPr>
          <w:lang w:eastAsia="zh-CN"/>
        </w:rPr>
        <w:t xml:space="preserve">between </w:t>
      </w:r>
      <w:r w:rsidR="00912611">
        <w:rPr>
          <w:lang w:eastAsia="zh-CN"/>
        </w:rPr>
        <w:t xml:space="preserve">embodiment and </w:t>
      </w:r>
      <w:r w:rsidR="00BC15A3">
        <w:rPr>
          <w:lang w:eastAsia="zh-CN"/>
        </w:rPr>
        <w:t>consci</w:t>
      </w:r>
      <w:r w:rsidR="00912611">
        <w:rPr>
          <w:lang w:eastAsia="zh-CN"/>
        </w:rPr>
        <w:t>ousness</w:t>
      </w:r>
      <w:r w:rsidR="00BC15A3">
        <w:rPr>
          <w:lang w:eastAsia="zh-CN"/>
        </w:rPr>
        <w:t>. Evolutionary anthropology suggests</w:t>
      </w:r>
      <w:r w:rsidR="00F042C0">
        <w:rPr>
          <w:lang w:eastAsia="zh-CN"/>
        </w:rPr>
        <w:t xml:space="preserve"> that our social cognition system is ancient while our advanced linguistic consciousness appears very late in our evolution, and is mediated by the advanced tool manufacture and use we associate with the </w:t>
      </w:r>
      <w:r w:rsidR="00C24056">
        <w:rPr>
          <w:lang w:eastAsia="zh-CN"/>
        </w:rPr>
        <w:t xml:space="preserve">African </w:t>
      </w:r>
      <w:r w:rsidR="00F042C0">
        <w:rPr>
          <w:lang w:eastAsia="zh-CN"/>
        </w:rPr>
        <w:t>techno-complexes of the later period of anatomically modern human beings</w:t>
      </w:r>
      <w:r w:rsidR="00ED2950">
        <w:rPr>
          <w:lang w:eastAsia="zh-CN"/>
        </w:rPr>
        <w:t xml:space="preserve"> (c. 50,000 years ago)</w:t>
      </w:r>
      <w:r w:rsidR="00F042C0">
        <w:rPr>
          <w:lang w:eastAsia="zh-CN"/>
        </w:rPr>
        <w:t>.</w:t>
      </w:r>
      <w:r w:rsidR="00F042C0">
        <w:rPr>
          <w:rStyle w:val="FootnoteReference"/>
          <w:lang w:eastAsia="zh-CN"/>
        </w:rPr>
        <w:footnoteReference w:id="17"/>
      </w:r>
      <w:r w:rsidR="00F042C0">
        <w:rPr>
          <w:lang w:eastAsia="zh-CN"/>
        </w:rPr>
        <w:t xml:space="preserve"> </w:t>
      </w:r>
      <w:r w:rsidR="00386493">
        <w:rPr>
          <w:lang w:eastAsia="zh-CN"/>
        </w:rPr>
        <w:t xml:space="preserve">In addition to the different </w:t>
      </w:r>
      <w:r w:rsidR="00386493" w:rsidRPr="009A4FF7">
        <w:rPr>
          <w:i/>
          <w:lang w:eastAsia="zh-CN"/>
        </w:rPr>
        <w:t>functions</w:t>
      </w:r>
      <w:r w:rsidR="00386493">
        <w:rPr>
          <w:lang w:eastAsia="zh-CN"/>
        </w:rPr>
        <w:t xml:space="preserve"> of the social cognition system </w:t>
      </w:r>
      <w:r w:rsidR="00CE1B3B">
        <w:rPr>
          <w:lang w:eastAsia="zh-CN"/>
        </w:rPr>
        <w:t xml:space="preserve">on the one hand </w:t>
      </w:r>
      <w:r w:rsidR="00386493">
        <w:rPr>
          <w:lang w:eastAsia="zh-CN"/>
        </w:rPr>
        <w:t xml:space="preserve">and our advanced linguistic consciousness </w:t>
      </w:r>
      <w:r w:rsidR="00CE1B3B">
        <w:rPr>
          <w:lang w:eastAsia="zh-CN"/>
        </w:rPr>
        <w:t xml:space="preserve">on the other </w:t>
      </w:r>
      <w:r w:rsidR="00386493">
        <w:rPr>
          <w:lang w:eastAsia="zh-CN"/>
        </w:rPr>
        <w:t>(</w:t>
      </w:r>
      <w:r w:rsidR="00CE1B3B">
        <w:rPr>
          <w:lang w:eastAsia="zh-CN"/>
        </w:rPr>
        <w:t xml:space="preserve">i.e. </w:t>
      </w:r>
      <w:r w:rsidR="00386493">
        <w:rPr>
          <w:lang w:eastAsia="zh-CN"/>
        </w:rPr>
        <w:t xml:space="preserve">in </w:t>
      </w:r>
      <w:r w:rsidR="00CE1B3B">
        <w:rPr>
          <w:lang w:eastAsia="zh-CN"/>
        </w:rPr>
        <w:t xml:space="preserve">the former </w:t>
      </w:r>
      <w:r w:rsidR="009A4FF7">
        <w:rPr>
          <w:lang w:eastAsia="zh-CN"/>
        </w:rPr>
        <w:t xml:space="preserve">the </w:t>
      </w:r>
      <w:r w:rsidR="00896DF1">
        <w:rPr>
          <w:lang w:eastAsia="zh-CN"/>
        </w:rPr>
        <w:t xml:space="preserve">body’s </w:t>
      </w:r>
      <w:r w:rsidR="00386493">
        <w:rPr>
          <w:lang w:eastAsia="zh-CN"/>
        </w:rPr>
        <w:t xml:space="preserve">social reasoning </w:t>
      </w:r>
      <w:r w:rsidR="00896DF1">
        <w:rPr>
          <w:lang w:eastAsia="zh-CN"/>
        </w:rPr>
        <w:t xml:space="preserve">serves </w:t>
      </w:r>
      <w:r w:rsidR="00386493">
        <w:rPr>
          <w:lang w:eastAsia="zh-CN"/>
        </w:rPr>
        <w:t xml:space="preserve">to embrace complexity while </w:t>
      </w:r>
      <w:r w:rsidR="00CE1B3B">
        <w:rPr>
          <w:lang w:eastAsia="zh-CN"/>
        </w:rPr>
        <w:t xml:space="preserve">in the latter </w:t>
      </w:r>
      <w:r w:rsidR="00386493">
        <w:rPr>
          <w:lang w:eastAsia="zh-CN"/>
        </w:rPr>
        <w:t>the theoretical</w:t>
      </w:r>
      <w:r w:rsidR="00896DF1">
        <w:rPr>
          <w:lang w:eastAsia="zh-CN"/>
        </w:rPr>
        <w:t>,</w:t>
      </w:r>
      <w:r w:rsidR="00386493">
        <w:rPr>
          <w:lang w:eastAsia="zh-CN"/>
        </w:rPr>
        <w:t xml:space="preserve"> and practical, self-interested </w:t>
      </w:r>
      <w:r w:rsidR="00CE1B3B">
        <w:rPr>
          <w:lang w:eastAsia="zh-CN"/>
        </w:rPr>
        <w:t xml:space="preserve">forms of </w:t>
      </w:r>
      <w:r w:rsidR="00386493">
        <w:rPr>
          <w:lang w:eastAsia="zh-CN"/>
        </w:rPr>
        <w:t xml:space="preserve">reasoning of consciousness </w:t>
      </w:r>
      <w:r w:rsidR="00CE1B3B">
        <w:rPr>
          <w:lang w:eastAsia="zh-CN"/>
        </w:rPr>
        <w:t>serve</w:t>
      </w:r>
      <w:r w:rsidR="00896DF1">
        <w:rPr>
          <w:lang w:eastAsia="zh-CN"/>
        </w:rPr>
        <w:t xml:space="preserve"> to </w:t>
      </w:r>
      <w:r w:rsidR="009A4FF7">
        <w:rPr>
          <w:lang w:eastAsia="zh-CN"/>
        </w:rPr>
        <w:t>reduce it</w:t>
      </w:r>
      <w:r w:rsidR="00386493">
        <w:rPr>
          <w:lang w:eastAsia="zh-CN"/>
        </w:rPr>
        <w:t xml:space="preserve">), </w:t>
      </w:r>
      <w:r w:rsidR="009A4FF7">
        <w:rPr>
          <w:lang w:eastAsia="zh-CN"/>
        </w:rPr>
        <w:t xml:space="preserve">we can see that there is also an </w:t>
      </w:r>
      <w:r w:rsidR="009A4FF7" w:rsidRPr="009A4FF7">
        <w:rPr>
          <w:i/>
          <w:lang w:eastAsia="zh-CN"/>
        </w:rPr>
        <w:t>evolutionary gap</w:t>
      </w:r>
      <w:r w:rsidR="009A4FF7">
        <w:rPr>
          <w:lang w:eastAsia="zh-CN"/>
        </w:rPr>
        <w:t xml:space="preserve"> in play here. </w:t>
      </w:r>
      <w:r w:rsidR="00E744F6">
        <w:rPr>
          <w:lang w:eastAsia="zh-CN"/>
        </w:rPr>
        <w:t xml:space="preserve">It is this </w:t>
      </w:r>
      <w:r w:rsidR="004663E2">
        <w:rPr>
          <w:lang w:eastAsia="zh-CN"/>
        </w:rPr>
        <w:t>“gap”</w:t>
      </w:r>
      <w:r w:rsidR="00E744F6">
        <w:rPr>
          <w:lang w:eastAsia="zh-CN"/>
        </w:rPr>
        <w:t xml:space="preserve"> that is traversed when, as advanced linguistic consciousness, we accept </w:t>
      </w:r>
      <w:proofErr w:type="gramStart"/>
      <w:r w:rsidR="00E744F6">
        <w:rPr>
          <w:lang w:eastAsia="zh-CN"/>
        </w:rPr>
        <w:t xml:space="preserve">the </w:t>
      </w:r>
      <w:r w:rsidR="0097312E">
        <w:rPr>
          <w:lang w:eastAsia="zh-CN"/>
        </w:rPr>
        <w:t xml:space="preserve"> vulnerability</w:t>
      </w:r>
      <w:proofErr w:type="gramEnd"/>
      <w:r w:rsidR="0097312E">
        <w:rPr>
          <w:lang w:eastAsia="zh-CN"/>
        </w:rPr>
        <w:t xml:space="preserve"> of our contingent </w:t>
      </w:r>
      <w:r w:rsidR="00ED2950">
        <w:rPr>
          <w:lang w:eastAsia="zh-CN"/>
        </w:rPr>
        <w:t>and mortal embodiment</w:t>
      </w:r>
      <w:r w:rsidR="00E744F6">
        <w:rPr>
          <w:lang w:eastAsia="zh-CN"/>
        </w:rPr>
        <w:t xml:space="preserve">. This occurs where </w:t>
      </w:r>
      <w:r w:rsidR="00ED2950">
        <w:rPr>
          <w:lang w:eastAsia="zh-CN"/>
        </w:rPr>
        <w:t xml:space="preserve">we </w:t>
      </w:r>
      <w:r w:rsidR="0097312E">
        <w:rPr>
          <w:lang w:eastAsia="zh-CN"/>
        </w:rPr>
        <w:t xml:space="preserve">allow the body’s </w:t>
      </w:r>
      <w:r w:rsidR="00565424">
        <w:rPr>
          <w:lang w:eastAsia="zh-CN"/>
        </w:rPr>
        <w:t xml:space="preserve">early, </w:t>
      </w:r>
      <w:r w:rsidR="004663E2">
        <w:rPr>
          <w:lang w:eastAsia="zh-CN"/>
        </w:rPr>
        <w:t xml:space="preserve">pre-thematic, </w:t>
      </w:r>
      <w:r w:rsidR="0097312E">
        <w:rPr>
          <w:lang w:eastAsia="zh-CN"/>
        </w:rPr>
        <w:t>participative</w:t>
      </w:r>
      <w:r w:rsidR="004663E2">
        <w:rPr>
          <w:lang w:eastAsia="zh-CN"/>
        </w:rPr>
        <w:t>,</w:t>
      </w:r>
      <w:r w:rsidR="0097312E">
        <w:rPr>
          <w:lang w:eastAsia="zh-CN"/>
        </w:rPr>
        <w:t xml:space="preserve"> social reasoning </w:t>
      </w:r>
      <w:r w:rsidR="00ED2950">
        <w:rPr>
          <w:lang w:eastAsia="zh-CN"/>
        </w:rPr>
        <w:t xml:space="preserve">within the irreducible complexity of the encounter with the human other, to </w:t>
      </w:r>
      <w:r w:rsidR="004663E2">
        <w:rPr>
          <w:lang w:eastAsia="zh-CN"/>
        </w:rPr>
        <w:t xml:space="preserve">also </w:t>
      </w:r>
      <w:r w:rsidR="00ED2950">
        <w:rPr>
          <w:lang w:eastAsia="zh-CN"/>
        </w:rPr>
        <w:t xml:space="preserve">become our own </w:t>
      </w:r>
      <w:r w:rsidR="00565424">
        <w:rPr>
          <w:lang w:eastAsia="zh-CN"/>
        </w:rPr>
        <w:t xml:space="preserve">late, </w:t>
      </w:r>
      <w:r w:rsidR="00ED2950">
        <w:rPr>
          <w:lang w:eastAsia="zh-CN"/>
        </w:rPr>
        <w:t>conscious</w:t>
      </w:r>
      <w:r w:rsidR="00565424">
        <w:rPr>
          <w:lang w:eastAsia="zh-CN"/>
        </w:rPr>
        <w:t>,</w:t>
      </w:r>
      <w:r w:rsidR="00E744F6">
        <w:rPr>
          <w:lang w:eastAsia="zh-CN"/>
        </w:rPr>
        <w:t xml:space="preserve"> responsible</w:t>
      </w:r>
      <w:r w:rsidR="00ED2950">
        <w:rPr>
          <w:lang w:eastAsia="zh-CN"/>
        </w:rPr>
        <w:t xml:space="preserve"> and free reasoning. </w:t>
      </w:r>
      <w:r w:rsidR="00C24056">
        <w:rPr>
          <w:lang w:eastAsia="zh-CN"/>
        </w:rPr>
        <w:t>Human wholeness pivots around the integration of time. The practic</w:t>
      </w:r>
      <w:r w:rsidR="004663E2">
        <w:rPr>
          <w:lang w:eastAsia="zh-CN"/>
        </w:rPr>
        <w:t xml:space="preserve">e of social bonding, which is </w:t>
      </w:r>
      <w:r w:rsidR="00C24056">
        <w:rPr>
          <w:lang w:eastAsia="zh-CN"/>
        </w:rPr>
        <w:t xml:space="preserve">primary </w:t>
      </w:r>
      <w:r w:rsidR="00E744F6">
        <w:rPr>
          <w:lang w:eastAsia="zh-CN"/>
        </w:rPr>
        <w:t xml:space="preserve">– if not the primary - </w:t>
      </w:r>
      <w:r w:rsidR="00C24056">
        <w:rPr>
          <w:lang w:eastAsia="zh-CN"/>
        </w:rPr>
        <w:t xml:space="preserve">human activity, is also the acceptance and practice of our </w:t>
      </w:r>
      <w:r w:rsidR="004C02F9">
        <w:rPr>
          <w:lang w:eastAsia="zh-CN"/>
        </w:rPr>
        <w:t xml:space="preserve">own </w:t>
      </w:r>
      <w:r w:rsidR="00C24056">
        <w:rPr>
          <w:lang w:eastAsia="zh-CN"/>
        </w:rPr>
        <w:t xml:space="preserve">human becoming. </w:t>
      </w:r>
    </w:p>
    <w:p w14:paraId="3225DB14" w14:textId="48531AC1" w:rsidR="004C02F9" w:rsidRDefault="004C02F9" w:rsidP="00CB698A">
      <w:pPr>
        <w:rPr>
          <w:lang w:eastAsia="zh-CN"/>
        </w:rPr>
      </w:pPr>
      <w:r>
        <w:rPr>
          <w:lang w:eastAsia="zh-CN"/>
        </w:rPr>
        <w:tab/>
        <w:t>The second way in which science illumines the practice of social bonding is in terms of what w</w:t>
      </w:r>
      <w:r w:rsidR="004663E2">
        <w:rPr>
          <w:lang w:eastAsia="zh-CN"/>
        </w:rPr>
        <w:t>e can call the ontology of the “in-between”</w:t>
      </w:r>
      <w:r>
        <w:rPr>
          <w:lang w:eastAsia="zh-CN"/>
        </w:rPr>
        <w:t xml:space="preserve">. </w:t>
      </w:r>
      <w:r w:rsidR="0062107B">
        <w:rPr>
          <w:lang w:eastAsia="zh-CN"/>
        </w:rPr>
        <w:t xml:space="preserve">Since we inevitably experience the </w:t>
      </w:r>
      <w:r w:rsidR="00AB0294">
        <w:rPr>
          <w:lang w:eastAsia="zh-CN"/>
        </w:rPr>
        <w:t xml:space="preserve">space between </w:t>
      </w:r>
      <w:proofErr w:type="gramStart"/>
      <w:r w:rsidR="00AB0294">
        <w:rPr>
          <w:lang w:eastAsia="zh-CN"/>
        </w:rPr>
        <w:t xml:space="preserve">people </w:t>
      </w:r>
      <w:r w:rsidR="0062107B">
        <w:rPr>
          <w:lang w:eastAsia="zh-CN"/>
        </w:rPr>
        <w:t xml:space="preserve"> in</w:t>
      </w:r>
      <w:proofErr w:type="gramEnd"/>
      <w:r w:rsidR="0062107B">
        <w:rPr>
          <w:lang w:eastAsia="zh-CN"/>
        </w:rPr>
        <w:t xml:space="preserve"> terms of an interacting </w:t>
      </w:r>
      <w:r w:rsidR="004663E2">
        <w:rPr>
          <w:lang w:eastAsia="zh-CN"/>
        </w:rPr>
        <w:t>“me” and “you”</w:t>
      </w:r>
      <w:r w:rsidR="0062107B">
        <w:rPr>
          <w:lang w:eastAsia="zh-CN"/>
        </w:rPr>
        <w:t xml:space="preserve">, it is natural that we </w:t>
      </w:r>
      <w:r w:rsidR="00610764">
        <w:rPr>
          <w:lang w:eastAsia="zh-CN"/>
        </w:rPr>
        <w:t>should personalize this “in-between”</w:t>
      </w:r>
      <w:r w:rsidR="00AB0294">
        <w:rPr>
          <w:lang w:eastAsia="zh-CN"/>
        </w:rPr>
        <w:t xml:space="preserve">. </w:t>
      </w:r>
      <w:r w:rsidR="0062107B">
        <w:rPr>
          <w:lang w:eastAsia="zh-CN"/>
        </w:rPr>
        <w:t>But n</w:t>
      </w:r>
      <w:r w:rsidR="00610764">
        <w:rPr>
          <w:lang w:eastAsia="zh-CN"/>
        </w:rPr>
        <w:t>euroscience shows that the “in-between”</w:t>
      </w:r>
      <w:r w:rsidR="00AB0294">
        <w:rPr>
          <w:lang w:eastAsia="zh-CN"/>
        </w:rPr>
        <w:t xml:space="preserve"> is as much</w:t>
      </w:r>
      <w:r w:rsidR="00610764">
        <w:rPr>
          <w:lang w:eastAsia="zh-CN"/>
        </w:rPr>
        <w:t xml:space="preserve"> “world” as it is “me” and “you”</w:t>
      </w:r>
      <w:r w:rsidR="00AB0294">
        <w:rPr>
          <w:lang w:eastAsia="zh-CN"/>
        </w:rPr>
        <w:t xml:space="preserve">. The </w:t>
      </w:r>
      <w:proofErr w:type="spellStart"/>
      <w:r w:rsidR="00AB0294">
        <w:rPr>
          <w:lang w:eastAsia="zh-CN"/>
        </w:rPr>
        <w:t>enactivist</w:t>
      </w:r>
      <w:proofErr w:type="spellEnd"/>
      <w:r w:rsidR="00AB0294">
        <w:rPr>
          <w:lang w:eastAsia="zh-CN"/>
        </w:rPr>
        <w:t xml:space="preserve"> school of thought emphasizes the extent to which the reflex systems which constitute </w:t>
      </w:r>
      <w:r w:rsidR="0015290B">
        <w:rPr>
          <w:lang w:eastAsia="zh-CN"/>
        </w:rPr>
        <w:t>our pre-thematic, pre-linguistic interpersonal communications themselves constitute the enactment of the world. In other words, this is a pre-personal space of pure</w:t>
      </w:r>
      <w:r w:rsidR="00610764">
        <w:rPr>
          <w:lang w:eastAsia="zh-CN"/>
        </w:rPr>
        <w:t>,</w:t>
      </w:r>
      <w:r w:rsidR="0015290B">
        <w:rPr>
          <w:lang w:eastAsia="zh-CN"/>
        </w:rPr>
        <w:t xml:space="preserve"> </w:t>
      </w:r>
      <w:proofErr w:type="spellStart"/>
      <w:r w:rsidR="0015290B">
        <w:rPr>
          <w:lang w:eastAsia="zh-CN"/>
        </w:rPr>
        <w:t>interrelational</w:t>
      </w:r>
      <w:proofErr w:type="spellEnd"/>
      <w:r w:rsidR="00610764">
        <w:rPr>
          <w:lang w:eastAsia="zh-CN"/>
        </w:rPr>
        <w:t>,</w:t>
      </w:r>
      <w:r w:rsidR="0015290B">
        <w:rPr>
          <w:lang w:eastAsia="zh-CN"/>
        </w:rPr>
        <w:t xml:space="preserve"> material density.</w:t>
      </w:r>
      <w:r w:rsidR="002E1ADE">
        <w:rPr>
          <w:lang w:eastAsia="zh-CN"/>
        </w:rPr>
        <w:t xml:space="preserve"> It is the </w:t>
      </w:r>
      <w:r w:rsidR="006938CD">
        <w:rPr>
          <w:lang w:eastAsia="zh-CN"/>
        </w:rPr>
        <w:t>dense</w:t>
      </w:r>
      <w:r w:rsidR="00610764">
        <w:rPr>
          <w:lang w:eastAsia="zh-CN"/>
        </w:rPr>
        <w:t>,</w:t>
      </w:r>
      <w:r w:rsidR="006938CD">
        <w:rPr>
          <w:lang w:eastAsia="zh-CN"/>
        </w:rPr>
        <w:t xml:space="preserve"> </w:t>
      </w:r>
      <w:r w:rsidR="00E90AEB">
        <w:rPr>
          <w:lang w:eastAsia="zh-CN"/>
        </w:rPr>
        <w:t xml:space="preserve">material </w:t>
      </w:r>
      <w:r w:rsidR="002E1ADE">
        <w:rPr>
          <w:lang w:eastAsia="zh-CN"/>
        </w:rPr>
        <w:t xml:space="preserve">ground of our subjectivity and mutuality. Our social cognition </w:t>
      </w:r>
      <w:r w:rsidR="00C84312">
        <w:rPr>
          <w:lang w:eastAsia="zh-CN"/>
        </w:rPr>
        <w:t xml:space="preserve">which </w:t>
      </w:r>
      <w:r w:rsidR="002E1ADE">
        <w:rPr>
          <w:lang w:eastAsia="zh-CN"/>
        </w:rPr>
        <w:t>is based in the motor system with its pre-thematic, automatic or reflex responses,</w:t>
      </w:r>
      <w:r w:rsidR="00C84312">
        <w:rPr>
          <w:lang w:eastAsia="zh-CN"/>
        </w:rPr>
        <w:t xml:space="preserve"> presents an ambiguous ontology therefore. From one perspective, which</w:t>
      </w:r>
      <w:r w:rsidR="006938CD">
        <w:rPr>
          <w:lang w:eastAsia="zh-CN"/>
        </w:rPr>
        <w:t xml:space="preserve"> is that of the self who sees and speaks, it is </w:t>
      </w:r>
      <w:proofErr w:type="gramStart"/>
      <w:r w:rsidR="006938CD">
        <w:rPr>
          <w:lang w:eastAsia="zh-CN"/>
        </w:rPr>
        <w:t>the  ground</w:t>
      </w:r>
      <w:proofErr w:type="gramEnd"/>
      <w:r w:rsidR="00C84312">
        <w:rPr>
          <w:lang w:eastAsia="zh-CN"/>
        </w:rPr>
        <w:t xml:space="preserve"> of </w:t>
      </w:r>
      <w:r w:rsidR="006938CD">
        <w:rPr>
          <w:lang w:eastAsia="zh-CN"/>
        </w:rPr>
        <w:t xml:space="preserve">our </w:t>
      </w:r>
      <w:r w:rsidR="00C84312">
        <w:rPr>
          <w:lang w:eastAsia="zh-CN"/>
        </w:rPr>
        <w:t xml:space="preserve">personal subjectivity. From the perspective of the neurologist however, it can be described as a physical event in the world which is prior to the separation of modern </w:t>
      </w:r>
      <w:r w:rsidR="00C84312">
        <w:rPr>
          <w:lang w:eastAsia="zh-CN"/>
        </w:rPr>
        <w:lastRenderedPageBreak/>
        <w:t>consciousness. So powerfully determined are</w:t>
      </w:r>
      <w:r w:rsidR="00610764">
        <w:rPr>
          <w:lang w:eastAsia="zh-CN"/>
        </w:rPr>
        <w:t xml:space="preserve"> we by the experience of being “me” in the presence of “you”</w:t>
      </w:r>
      <w:r w:rsidR="00C84312">
        <w:rPr>
          <w:lang w:eastAsia="zh-CN"/>
        </w:rPr>
        <w:t>, that we are startled when a scientific perspective sees what is prior t</w:t>
      </w:r>
      <w:r w:rsidR="006938CD">
        <w:rPr>
          <w:lang w:eastAsia="zh-CN"/>
        </w:rPr>
        <w:t xml:space="preserve">o that inter-subjectivity: the </w:t>
      </w:r>
      <w:r w:rsidR="00610764">
        <w:rPr>
          <w:lang w:eastAsia="zh-CN"/>
        </w:rPr>
        <w:t xml:space="preserve">pre-thematic </w:t>
      </w:r>
      <w:r w:rsidR="00C84312">
        <w:rPr>
          <w:lang w:eastAsia="zh-CN"/>
        </w:rPr>
        <w:t>ground which is describable as world</w:t>
      </w:r>
      <w:r w:rsidR="00610764">
        <w:rPr>
          <w:lang w:eastAsia="zh-CN"/>
        </w:rPr>
        <w:t xml:space="preserve">. </w:t>
      </w:r>
    </w:p>
    <w:p w14:paraId="1CD4CEAB" w14:textId="3933D1C2" w:rsidR="00C84312" w:rsidRDefault="006938CD" w:rsidP="00CB698A">
      <w:pPr>
        <w:rPr>
          <w:lang w:eastAsia="zh-CN"/>
        </w:rPr>
      </w:pPr>
      <w:r>
        <w:rPr>
          <w:lang w:eastAsia="zh-CN"/>
        </w:rPr>
        <w:tab/>
        <w:t xml:space="preserve">Here we are confronted by a deeply significant fact. </w:t>
      </w:r>
      <w:r w:rsidR="001E1ABB">
        <w:rPr>
          <w:lang w:eastAsia="zh-CN"/>
        </w:rPr>
        <w:t xml:space="preserve">If </w:t>
      </w:r>
      <w:proofErr w:type="spellStart"/>
      <w:r w:rsidR="001E1ABB">
        <w:rPr>
          <w:lang w:eastAsia="zh-CN"/>
        </w:rPr>
        <w:t>Prof.</w:t>
      </w:r>
      <w:proofErr w:type="spellEnd"/>
      <w:r w:rsidR="001E1ABB">
        <w:rPr>
          <w:lang w:eastAsia="zh-CN"/>
        </w:rPr>
        <w:t xml:space="preserve"> Yang is dealing with multiple perspectives, that of </w:t>
      </w:r>
      <w:proofErr w:type="gramStart"/>
      <w:r w:rsidR="001E1ABB">
        <w:rPr>
          <w:lang w:eastAsia="zh-CN"/>
        </w:rPr>
        <w:t>Ricci</w:t>
      </w:r>
      <w:r w:rsidR="00610764">
        <w:rPr>
          <w:lang w:eastAsia="zh-CN"/>
        </w:rPr>
        <w:t xml:space="preserve">  and</w:t>
      </w:r>
      <w:proofErr w:type="gramEnd"/>
      <w:r w:rsidR="00610764">
        <w:rPr>
          <w:lang w:eastAsia="zh-CN"/>
        </w:rPr>
        <w:t xml:space="preserve"> Foucault</w:t>
      </w:r>
      <w:r w:rsidR="001E1ABB">
        <w:rPr>
          <w:lang w:eastAsia="zh-CN"/>
        </w:rPr>
        <w:t xml:space="preserve"> </w:t>
      </w:r>
      <w:r w:rsidR="00610764">
        <w:rPr>
          <w:lang w:eastAsia="zh-CN"/>
        </w:rPr>
        <w:t xml:space="preserve">for instance, </w:t>
      </w:r>
      <w:r w:rsidR="001E1ABB">
        <w:rPr>
          <w:lang w:eastAsia="zh-CN"/>
        </w:rPr>
        <w:t>who share a common focus on Epictet</w:t>
      </w:r>
      <w:r w:rsidR="001316A4">
        <w:rPr>
          <w:lang w:eastAsia="zh-CN"/>
        </w:rPr>
        <w:t xml:space="preserve">us, and if he </w:t>
      </w:r>
      <w:r w:rsidR="001E1ABB">
        <w:rPr>
          <w:lang w:eastAsia="zh-CN"/>
        </w:rPr>
        <w:t>is inviting his reader to enter the further perspective which he himself co</w:t>
      </w:r>
      <w:r w:rsidR="004D5876">
        <w:rPr>
          <w:lang w:eastAsia="zh-CN"/>
        </w:rPr>
        <w:t xml:space="preserve">nstructs </w:t>
      </w:r>
      <w:r w:rsidR="001E1ABB">
        <w:rPr>
          <w:lang w:eastAsia="zh-CN"/>
        </w:rPr>
        <w:t>in his discussion of Ricci and Foucault</w:t>
      </w:r>
      <w:r w:rsidR="004D5876">
        <w:rPr>
          <w:lang w:eastAsia="zh-CN"/>
        </w:rPr>
        <w:t xml:space="preserve">, so that the reader can </w:t>
      </w:r>
      <w:r w:rsidR="001E1ABB">
        <w:rPr>
          <w:lang w:eastAsia="zh-CN"/>
        </w:rPr>
        <w:t xml:space="preserve">share a way of understanding </w:t>
      </w:r>
      <w:r w:rsidR="00610764">
        <w:rPr>
          <w:lang w:eastAsia="zh-CN"/>
        </w:rPr>
        <w:t xml:space="preserve">new </w:t>
      </w:r>
      <w:r w:rsidR="004D5876">
        <w:rPr>
          <w:lang w:eastAsia="zh-CN"/>
        </w:rPr>
        <w:t xml:space="preserve">possibilities of East-West dialogue in this </w:t>
      </w:r>
      <w:r w:rsidR="0020299C">
        <w:rPr>
          <w:lang w:eastAsia="zh-CN"/>
        </w:rPr>
        <w:t xml:space="preserve">layered </w:t>
      </w:r>
      <w:r w:rsidR="004D5876">
        <w:rPr>
          <w:lang w:eastAsia="zh-CN"/>
        </w:rPr>
        <w:t>picture, then we must now add to this</w:t>
      </w:r>
      <w:r w:rsidR="00740326">
        <w:rPr>
          <w:lang w:eastAsia="zh-CN"/>
        </w:rPr>
        <w:t xml:space="preserve"> a further perspectival innovation</w:t>
      </w:r>
      <w:r w:rsidR="004D5876">
        <w:rPr>
          <w:lang w:eastAsia="zh-CN"/>
        </w:rPr>
        <w:t xml:space="preserve">. This is the perspective of the neurologist who is able to access – through </w:t>
      </w:r>
      <w:r w:rsidR="004448F7">
        <w:rPr>
          <w:lang w:eastAsia="zh-CN"/>
        </w:rPr>
        <w:t xml:space="preserve">technical </w:t>
      </w:r>
      <w:r w:rsidR="006228CB">
        <w:rPr>
          <w:lang w:eastAsia="zh-CN"/>
        </w:rPr>
        <w:t xml:space="preserve">extensions </w:t>
      </w:r>
      <w:r w:rsidR="004448F7">
        <w:rPr>
          <w:lang w:eastAsia="zh-CN"/>
        </w:rPr>
        <w:t xml:space="preserve">of </w:t>
      </w:r>
      <w:r w:rsidR="004D5876">
        <w:rPr>
          <w:lang w:eastAsia="zh-CN"/>
        </w:rPr>
        <w:t>sight – those dimensions of our embodiment which are otherwise always hidden from view</w:t>
      </w:r>
      <w:r w:rsidR="004448F7">
        <w:rPr>
          <w:lang w:eastAsia="zh-CN"/>
        </w:rPr>
        <w:t xml:space="preserve">, from </w:t>
      </w:r>
      <w:r w:rsidR="004D5876">
        <w:rPr>
          <w:lang w:eastAsia="zh-CN"/>
        </w:rPr>
        <w:t xml:space="preserve">the perspective of </w:t>
      </w:r>
      <w:r w:rsidR="004448F7">
        <w:rPr>
          <w:lang w:eastAsia="zh-CN"/>
        </w:rPr>
        <w:t>our consciousness</w:t>
      </w:r>
      <w:r w:rsidR="004D5876">
        <w:rPr>
          <w:lang w:eastAsia="zh-CN"/>
        </w:rPr>
        <w:t xml:space="preserve">. </w:t>
      </w:r>
      <w:r w:rsidR="00101105">
        <w:rPr>
          <w:lang w:eastAsia="zh-CN"/>
        </w:rPr>
        <w:t xml:space="preserve">We cannot directly see the pre-thematic, but we can indirectly see it, where </w:t>
      </w:r>
      <w:r w:rsidR="00610764">
        <w:rPr>
          <w:lang w:eastAsia="zh-CN"/>
        </w:rPr>
        <w:t xml:space="preserve">technology </w:t>
      </w:r>
      <w:r w:rsidR="00101105">
        <w:rPr>
          <w:lang w:eastAsia="zh-CN"/>
        </w:rPr>
        <w:t xml:space="preserve">is able to accurately represent it to the living gaze. </w:t>
      </w:r>
    </w:p>
    <w:p w14:paraId="486A5401" w14:textId="677FC0C3" w:rsidR="003C4CAE" w:rsidRDefault="00101105" w:rsidP="00CB698A">
      <w:pPr>
        <w:rPr>
          <w:lang w:eastAsia="zh-CN"/>
        </w:rPr>
      </w:pPr>
      <w:r>
        <w:rPr>
          <w:lang w:eastAsia="zh-CN"/>
        </w:rPr>
        <w:tab/>
        <w:t xml:space="preserve">This perspectival innovation can claim to see what is real, and </w:t>
      </w:r>
      <w:r w:rsidRPr="00101105">
        <w:rPr>
          <w:i/>
          <w:lang w:eastAsia="zh-CN"/>
        </w:rPr>
        <w:t>within</w:t>
      </w:r>
      <w:r>
        <w:rPr>
          <w:lang w:eastAsia="zh-CN"/>
        </w:rPr>
        <w:t xml:space="preserve"> us, beyond the conventional parameters of sight. </w:t>
      </w:r>
      <w:r w:rsidR="00610764">
        <w:rPr>
          <w:lang w:eastAsia="zh-CN"/>
        </w:rPr>
        <w:t xml:space="preserve">As we have seen, one </w:t>
      </w:r>
      <w:r w:rsidR="00B52663">
        <w:rPr>
          <w:lang w:eastAsia="zh-CN"/>
        </w:rPr>
        <w:t xml:space="preserve">of the possible consequences of laying bare </w:t>
      </w:r>
      <w:r w:rsidR="00940B29">
        <w:rPr>
          <w:lang w:eastAsia="zh-CN"/>
        </w:rPr>
        <w:t xml:space="preserve">this structure of the body’s </w:t>
      </w:r>
      <w:r w:rsidR="006228CB">
        <w:rPr>
          <w:lang w:eastAsia="zh-CN"/>
        </w:rPr>
        <w:t>intensive</w:t>
      </w:r>
      <w:r w:rsidR="00610764">
        <w:rPr>
          <w:lang w:eastAsia="zh-CN"/>
        </w:rPr>
        <w:t>,</w:t>
      </w:r>
      <w:r w:rsidR="00940B29">
        <w:rPr>
          <w:lang w:eastAsia="zh-CN"/>
        </w:rPr>
        <w:t xml:space="preserve"> participatory social evaluation on the one hand and the diverse capacities for deliberative reasoning of our  advanced linguistic consciousness on the other, is </w:t>
      </w:r>
      <w:r w:rsidR="00F619D4">
        <w:rPr>
          <w:lang w:eastAsia="zh-CN"/>
        </w:rPr>
        <w:t>that when</w:t>
      </w:r>
      <w:r w:rsidR="00FE405E">
        <w:rPr>
          <w:lang w:eastAsia="zh-CN"/>
        </w:rPr>
        <w:t xml:space="preserve"> our conscious reasoning reconciles itself with  complexity –</w:t>
      </w:r>
      <w:r w:rsidR="00A66C30">
        <w:rPr>
          <w:lang w:eastAsia="zh-CN"/>
        </w:rPr>
        <w:t xml:space="preserve"> </w:t>
      </w:r>
      <w:r w:rsidR="00FE405E">
        <w:rPr>
          <w:lang w:eastAsia="zh-CN"/>
        </w:rPr>
        <w:t xml:space="preserve">in the </w:t>
      </w:r>
      <w:r w:rsidR="00F619D4">
        <w:rPr>
          <w:lang w:eastAsia="zh-CN"/>
        </w:rPr>
        <w:t xml:space="preserve">social complexity of the </w:t>
      </w:r>
      <w:r w:rsidR="006228CB">
        <w:rPr>
          <w:lang w:eastAsia="zh-CN"/>
        </w:rPr>
        <w:t xml:space="preserve">encounter with the </w:t>
      </w:r>
      <w:r w:rsidR="00FE405E">
        <w:rPr>
          <w:lang w:eastAsia="zh-CN"/>
        </w:rPr>
        <w:t xml:space="preserve">human other – </w:t>
      </w:r>
      <w:r w:rsidR="00C46413">
        <w:rPr>
          <w:lang w:eastAsia="zh-CN"/>
        </w:rPr>
        <w:t xml:space="preserve">we can note </w:t>
      </w:r>
      <w:r w:rsidR="00FE405E">
        <w:rPr>
          <w:lang w:eastAsia="zh-CN"/>
        </w:rPr>
        <w:t xml:space="preserve">the occurrence of a kind of integration of mind and body which closely corresponds to Yang </w:t>
      </w:r>
      <w:proofErr w:type="spellStart"/>
      <w:r w:rsidR="00FE405E">
        <w:rPr>
          <w:lang w:eastAsia="zh-CN"/>
        </w:rPr>
        <w:t>Huilin’s</w:t>
      </w:r>
      <w:proofErr w:type="spellEnd"/>
      <w:r w:rsidR="00FE405E">
        <w:rPr>
          <w:lang w:eastAsia="zh-CN"/>
        </w:rPr>
        <w:t xml:space="preserve"> emphasis upon the unity of </w:t>
      </w:r>
      <w:proofErr w:type="spellStart"/>
      <w:r w:rsidR="00FE405E" w:rsidRPr="00854A1C">
        <w:rPr>
          <w:i/>
          <w:lang w:eastAsia="zh-CN"/>
        </w:rPr>
        <w:t>zhi</w:t>
      </w:r>
      <w:proofErr w:type="spellEnd"/>
      <w:r w:rsidR="00FE405E">
        <w:rPr>
          <w:lang w:eastAsia="zh-CN"/>
        </w:rPr>
        <w:t xml:space="preserve"> </w:t>
      </w:r>
      <w:r w:rsidR="00FE405E">
        <w:rPr>
          <w:rFonts w:ascii="Garamond" w:hAnsi="Garamond" w:hint="eastAsia"/>
          <w:b/>
          <w:lang w:eastAsia="zh-CN"/>
        </w:rPr>
        <w:t>(</w:t>
      </w:r>
      <w:r w:rsidR="00FE405E">
        <w:rPr>
          <w:rFonts w:ascii="Garamond" w:hAnsi="Garamond" w:hint="eastAsia"/>
          <w:b/>
          <w:lang w:eastAsia="zh-CN"/>
        </w:rPr>
        <w:t>知</w:t>
      </w:r>
      <w:r w:rsidR="00FE405E">
        <w:rPr>
          <w:rFonts w:ascii="Garamond" w:hAnsi="Garamond"/>
          <w:b/>
          <w:lang w:eastAsia="zh-CN"/>
        </w:rPr>
        <w:t xml:space="preserve">) </w:t>
      </w:r>
      <w:r w:rsidR="00FE405E">
        <w:rPr>
          <w:lang w:eastAsia="zh-CN"/>
        </w:rPr>
        <w:t xml:space="preserve">as ‘knowing’ and </w:t>
      </w:r>
      <w:proofErr w:type="spellStart"/>
      <w:r w:rsidR="00FE405E" w:rsidRPr="00854A1C">
        <w:rPr>
          <w:i/>
          <w:lang w:eastAsia="zh-CN"/>
        </w:rPr>
        <w:t>xing</w:t>
      </w:r>
      <w:proofErr w:type="spellEnd"/>
      <w:r w:rsidR="00FE405E">
        <w:rPr>
          <w:lang w:eastAsia="zh-CN"/>
        </w:rPr>
        <w:t xml:space="preserve"> </w:t>
      </w:r>
      <w:r w:rsidR="00FE405E">
        <w:rPr>
          <w:rFonts w:ascii="Garamond" w:hAnsi="Garamond" w:hint="eastAsia"/>
          <w:b/>
          <w:lang w:eastAsia="zh-CN"/>
        </w:rPr>
        <w:t>(</w:t>
      </w:r>
      <w:r w:rsidR="00FE405E">
        <w:rPr>
          <w:rFonts w:ascii="Garamond" w:hAnsi="Garamond" w:hint="eastAsia"/>
          <w:b/>
          <w:lang w:eastAsia="zh-CN"/>
        </w:rPr>
        <w:t>行</w:t>
      </w:r>
      <w:r w:rsidR="00FE405E">
        <w:rPr>
          <w:rFonts w:ascii="Garamond" w:hAnsi="Garamond"/>
          <w:b/>
          <w:lang w:eastAsia="zh-CN"/>
        </w:rPr>
        <w:t xml:space="preserve">) </w:t>
      </w:r>
      <w:r w:rsidR="00FE405E">
        <w:rPr>
          <w:lang w:eastAsia="zh-CN"/>
        </w:rPr>
        <w:t xml:space="preserve">as ‘application’. </w:t>
      </w:r>
      <w:r w:rsidR="00A66C30">
        <w:rPr>
          <w:lang w:eastAsia="zh-CN"/>
        </w:rPr>
        <w:t xml:space="preserve">But we can take a further step, on </w:t>
      </w:r>
      <w:r w:rsidR="00F619D4">
        <w:rPr>
          <w:lang w:eastAsia="zh-CN"/>
        </w:rPr>
        <w:t xml:space="preserve">the grounds of the </w:t>
      </w:r>
      <w:r w:rsidR="00FE405E">
        <w:rPr>
          <w:lang w:eastAsia="zh-CN"/>
        </w:rPr>
        <w:t>scientific perspective</w:t>
      </w:r>
      <w:r w:rsidR="00F619D4">
        <w:rPr>
          <w:lang w:eastAsia="zh-CN"/>
        </w:rPr>
        <w:t xml:space="preserve"> set out in this section</w:t>
      </w:r>
      <w:r w:rsidR="00A66C30">
        <w:rPr>
          <w:lang w:eastAsia="zh-CN"/>
        </w:rPr>
        <w:t xml:space="preserve">. We can suggest </w:t>
      </w:r>
      <w:r w:rsidR="00FE405E">
        <w:rPr>
          <w:lang w:eastAsia="zh-CN"/>
        </w:rPr>
        <w:t xml:space="preserve">that this unity brings about a </w:t>
      </w:r>
      <w:r w:rsidR="00DD4399">
        <w:rPr>
          <w:lang w:eastAsia="zh-CN"/>
        </w:rPr>
        <w:t xml:space="preserve">deeper </w:t>
      </w:r>
      <w:r w:rsidR="00FE405E">
        <w:rPr>
          <w:lang w:eastAsia="zh-CN"/>
        </w:rPr>
        <w:t>level of integration, beyond that of mind and body.</w:t>
      </w:r>
      <w:r w:rsidR="00F619D4">
        <w:rPr>
          <w:lang w:eastAsia="zh-CN"/>
        </w:rPr>
        <w:t xml:space="preserve"> Since the “in-between”</w:t>
      </w:r>
      <w:r w:rsidR="00A66C30">
        <w:rPr>
          <w:lang w:eastAsia="zh-CN"/>
        </w:rPr>
        <w:t xml:space="preserve"> is describable as world,</w:t>
      </w:r>
      <w:r w:rsidR="006228CB">
        <w:rPr>
          <w:lang w:eastAsia="zh-CN"/>
        </w:rPr>
        <w:t xml:space="preserve"> </w:t>
      </w:r>
      <w:r w:rsidR="00F619D4">
        <w:rPr>
          <w:lang w:eastAsia="zh-CN"/>
        </w:rPr>
        <w:t xml:space="preserve">for the neurologist, </w:t>
      </w:r>
      <w:r w:rsidR="006228CB">
        <w:rPr>
          <w:lang w:eastAsia="zh-CN"/>
        </w:rPr>
        <w:t xml:space="preserve">we can also </w:t>
      </w:r>
      <w:proofErr w:type="gramStart"/>
      <w:r w:rsidR="006228CB">
        <w:rPr>
          <w:lang w:eastAsia="zh-CN"/>
        </w:rPr>
        <w:t xml:space="preserve">read </w:t>
      </w:r>
      <w:r w:rsidR="00A66C30">
        <w:rPr>
          <w:lang w:eastAsia="zh-CN"/>
        </w:rPr>
        <w:t xml:space="preserve"> the</w:t>
      </w:r>
      <w:proofErr w:type="gramEnd"/>
      <w:r w:rsidR="00A66C30">
        <w:rPr>
          <w:lang w:eastAsia="zh-CN"/>
        </w:rPr>
        <w:t xml:space="preserve"> integration of mind and body, through social reasoning, </w:t>
      </w:r>
      <w:r w:rsidR="006228CB">
        <w:rPr>
          <w:lang w:eastAsia="zh-CN"/>
        </w:rPr>
        <w:t xml:space="preserve">as </w:t>
      </w:r>
      <w:r w:rsidR="00A66C30">
        <w:rPr>
          <w:lang w:eastAsia="zh-CN"/>
        </w:rPr>
        <w:t xml:space="preserve">the integration of mind in world. </w:t>
      </w:r>
      <w:r w:rsidR="006228CB">
        <w:rPr>
          <w:lang w:eastAsia="zh-CN"/>
        </w:rPr>
        <w:t xml:space="preserve">In a sense here we see </w:t>
      </w:r>
      <w:r w:rsidR="00F619D4">
        <w:rPr>
          <w:lang w:eastAsia="zh-CN"/>
        </w:rPr>
        <w:t xml:space="preserve">the conscious mind that reasons </w:t>
      </w:r>
      <w:r w:rsidR="006228CB">
        <w:rPr>
          <w:lang w:eastAsia="zh-CN"/>
        </w:rPr>
        <w:t>social</w:t>
      </w:r>
      <w:r w:rsidR="00F619D4">
        <w:rPr>
          <w:lang w:eastAsia="zh-CN"/>
        </w:rPr>
        <w:t xml:space="preserve">ly </w:t>
      </w:r>
      <w:r w:rsidR="00DD4399" w:rsidRPr="003C4CAE">
        <w:rPr>
          <w:i/>
          <w:lang w:eastAsia="zh-CN"/>
        </w:rPr>
        <w:t>becoming</w:t>
      </w:r>
      <w:r w:rsidR="00DD4399">
        <w:rPr>
          <w:lang w:eastAsia="zh-CN"/>
        </w:rPr>
        <w:t xml:space="preserve"> world.</w:t>
      </w:r>
      <w:r w:rsidR="00D91779">
        <w:rPr>
          <w:lang w:eastAsia="zh-CN"/>
        </w:rPr>
        <w:t xml:space="preserve"> Furthermore, the mut</w:t>
      </w:r>
      <w:r w:rsidR="00F619D4">
        <w:rPr>
          <w:lang w:eastAsia="zh-CN"/>
        </w:rPr>
        <w:t>uality that is implicit in the “in-between” suggests that this process of “</w:t>
      </w:r>
      <w:r w:rsidR="003C4CAE">
        <w:rPr>
          <w:lang w:eastAsia="zh-CN"/>
        </w:rPr>
        <w:t xml:space="preserve">mind </w:t>
      </w:r>
      <w:r w:rsidR="00F619D4">
        <w:rPr>
          <w:lang w:eastAsia="zh-CN"/>
        </w:rPr>
        <w:t>becoming world”</w:t>
      </w:r>
      <w:r w:rsidR="00D91779">
        <w:rPr>
          <w:lang w:eastAsia="zh-CN"/>
        </w:rPr>
        <w:t xml:space="preserve"> </w:t>
      </w:r>
      <w:r w:rsidR="003C4CAE">
        <w:rPr>
          <w:lang w:eastAsia="zh-CN"/>
        </w:rPr>
        <w:t xml:space="preserve">can </w:t>
      </w:r>
      <w:r w:rsidR="006228CB">
        <w:rPr>
          <w:lang w:eastAsia="zh-CN"/>
        </w:rPr>
        <w:t xml:space="preserve">further </w:t>
      </w:r>
      <w:r w:rsidR="003C4CAE">
        <w:rPr>
          <w:lang w:eastAsia="zh-CN"/>
        </w:rPr>
        <w:t xml:space="preserve">be read as the emergence of something new, which is to say the emergence of world </w:t>
      </w:r>
      <w:r w:rsidR="00F619D4">
        <w:rPr>
          <w:lang w:eastAsia="zh-CN"/>
        </w:rPr>
        <w:t xml:space="preserve">as it is </w:t>
      </w:r>
      <w:r w:rsidR="006228CB">
        <w:rPr>
          <w:lang w:eastAsia="zh-CN"/>
        </w:rPr>
        <w:t xml:space="preserve">distinctively </w:t>
      </w:r>
      <w:r w:rsidR="003C4CAE" w:rsidRPr="003C4CAE">
        <w:rPr>
          <w:i/>
          <w:lang w:eastAsia="zh-CN"/>
        </w:rPr>
        <w:t>shared</w:t>
      </w:r>
      <w:r w:rsidR="003C4CAE">
        <w:rPr>
          <w:lang w:eastAsia="zh-CN"/>
        </w:rPr>
        <w:t xml:space="preserve">. </w:t>
      </w:r>
    </w:p>
    <w:p w14:paraId="70B72F25" w14:textId="6B8BF282" w:rsidR="00D35BA7" w:rsidRDefault="003C4CAE" w:rsidP="00CB698A">
      <w:pPr>
        <w:rPr>
          <w:lang w:eastAsia="zh-CN"/>
        </w:rPr>
      </w:pPr>
      <w:r>
        <w:rPr>
          <w:lang w:eastAsia="zh-CN"/>
        </w:rPr>
        <w:tab/>
        <w:t>The suggestion, in the light of this scientific perspective, that human bonding can be understood to be the</w:t>
      </w:r>
      <w:r w:rsidR="00F619D4">
        <w:rPr>
          <w:lang w:eastAsia="zh-CN"/>
        </w:rPr>
        <w:t xml:space="preserve"> transformation of the “in-between”</w:t>
      </w:r>
      <w:r>
        <w:rPr>
          <w:lang w:eastAsia="zh-CN"/>
        </w:rPr>
        <w:t xml:space="preserve"> through t</w:t>
      </w:r>
      <w:r w:rsidR="00F619D4">
        <w:rPr>
          <w:lang w:eastAsia="zh-CN"/>
        </w:rPr>
        <w:t>he emergence of a “shared world” within the “in-between”</w:t>
      </w:r>
      <w:r>
        <w:rPr>
          <w:lang w:eastAsia="zh-CN"/>
        </w:rPr>
        <w:t xml:space="preserve"> leaves us with the question of what this might mean in terms of our second concept </w:t>
      </w:r>
      <w:r w:rsidR="003C1337">
        <w:rPr>
          <w:lang w:eastAsia="zh-CN"/>
        </w:rPr>
        <w:t xml:space="preserve">of </w:t>
      </w:r>
      <w:r w:rsidR="00F619D4">
        <w:rPr>
          <w:lang w:eastAsia="zh-CN"/>
        </w:rPr>
        <w:t>“niche construction”, which underlies “joint attention”</w:t>
      </w:r>
      <w:r w:rsidR="00565030">
        <w:rPr>
          <w:lang w:eastAsia="zh-CN"/>
        </w:rPr>
        <w:t>?</w:t>
      </w:r>
      <w:r>
        <w:rPr>
          <w:lang w:eastAsia="zh-CN"/>
        </w:rPr>
        <w:t xml:space="preserve"> Ordinarily this term denotes the visible, behavioural ways in which we make ourselves at home on this planet. Niche construction points to human flourishing and viability</w:t>
      </w:r>
      <w:r w:rsidR="00F619D4">
        <w:rPr>
          <w:lang w:eastAsia="zh-CN"/>
        </w:rPr>
        <w:t xml:space="preserve"> and to our human </w:t>
      </w:r>
      <w:r w:rsidR="003C1337">
        <w:rPr>
          <w:lang w:eastAsia="zh-CN"/>
        </w:rPr>
        <w:t>‘</w:t>
      </w:r>
      <w:proofErr w:type="spellStart"/>
      <w:r w:rsidR="003C1337">
        <w:rPr>
          <w:lang w:eastAsia="zh-CN"/>
        </w:rPr>
        <w:t>hypercooperation</w:t>
      </w:r>
      <w:proofErr w:type="spellEnd"/>
      <w:r w:rsidR="003C1337">
        <w:rPr>
          <w:lang w:eastAsia="zh-CN"/>
        </w:rPr>
        <w:t>’, securing our future together. It may well be that the processes of integration outlined here – of mind with body</w:t>
      </w:r>
      <w:r w:rsidR="002F4AC6">
        <w:rPr>
          <w:lang w:eastAsia="zh-CN"/>
        </w:rPr>
        <w:t>,</w:t>
      </w:r>
      <w:r w:rsidR="003C1337">
        <w:rPr>
          <w:lang w:eastAsia="zh-CN"/>
        </w:rPr>
        <w:t xml:space="preserve"> and min</w:t>
      </w:r>
      <w:r w:rsidR="002F4AC6">
        <w:rPr>
          <w:lang w:eastAsia="zh-CN"/>
        </w:rPr>
        <w:t xml:space="preserve">d with world, through the </w:t>
      </w:r>
      <w:r w:rsidR="006228CB">
        <w:rPr>
          <w:lang w:eastAsia="zh-CN"/>
        </w:rPr>
        <w:t xml:space="preserve">engagement of our own </w:t>
      </w:r>
      <w:r w:rsidR="003C1337">
        <w:rPr>
          <w:lang w:eastAsia="zh-CN"/>
        </w:rPr>
        <w:t xml:space="preserve">body </w:t>
      </w:r>
      <w:r w:rsidR="006228CB">
        <w:rPr>
          <w:lang w:eastAsia="zh-CN"/>
        </w:rPr>
        <w:t xml:space="preserve">with the body of another </w:t>
      </w:r>
      <w:r w:rsidR="002F4AC6">
        <w:rPr>
          <w:lang w:eastAsia="zh-CN"/>
        </w:rPr>
        <w:t>–</w:t>
      </w:r>
      <w:r w:rsidR="003C1337">
        <w:rPr>
          <w:lang w:eastAsia="zh-CN"/>
        </w:rPr>
        <w:t xml:space="preserve"> </w:t>
      </w:r>
      <w:r w:rsidR="002F4AC6">
        <w:rPr>
          <w:lang w:eastAsia="zh-CN"/>
        </w:rPr>
        <w:t xml:space="preserve">describe the internal structure of </w:t>
      </w:r>
      <w:proofErr w:type="spellStart"/>
      <w:r w:rsidR="002F4AC6">
        <w:rPr>
          <w:lang w:eastAsia="zh-CN"/>
        </w:rPr>
        <w:t>hypercooperation</w:t>
      </w:r>
      <w:proofErr w:type="spellEnd"/>
      <w:r w:rsidR="002F4AC6">
        <w:rPr>
          <w:lang w:eastAsia="zh-CN"/>
        </w:rPr>
        <w:t xml:space="preserve"> and so also of niche construction. Perhaps the human niche is c</w:t>
      </w:r>
      <w:r w:rsidR="00F619D4">
        <w:rPr>
          <w:lang w:eastAsia="zh-CN"/>
        </w:rPr>
        <w:t>onstructed first of all in the “in-between”</w:t>
      </w:r>
      <w:r w:rsidR="002F4AC6">
        <w:rPr>
          <w:lang w:eastAsia="zh-CN"/>
        </w:rPr>
        <w:t xml:space="preserve"> a</w:t>
      </w:r>
      <w:r w:rsidR="00565030">
        <w:rPr>
          <w:lang w:eastAsia="zh-CN"/>
        </w:rPr>
        <w:t xml:space="preserve">t the point where </w:t>
      </w:r>
      <w:r w:rsidR="002F4AC6">
        <w:rPr>
          <w:lang w:eastAsia="zh-CN"/>
        </w:rPr>
        <w:t xml:space="preserve">our advanced linguistic consciousness </w:t>
      </w:r>
      <w:r w:rsidR="008C1C09">
        <w:rPr>
          <w:lang w:eastAsia="zh-CN"/>
        </w:rPr>
        <w:t xml:space="preserve">freely </w:t>
      </w:r>
      <w:r w:rsidR="00F619D4">
        <w:rPr>
          <w:lang w:eastAsia="zh-CN"/>
        </w:rPr>
        <w:t xml:space="preserve">accepts our own </w:t>
      </w:r>
      <w:proofErr w:type="gramStart"/>
      <w:r w:rsidR="00F619D4">
        <w:rPr>
          <w:lang w:eastAsia="zh-CN"/>
        </w:rPr>
        <w:t xml:space="preserve">body’s </w:t>
      </w:r>
      <w:r w:rsidR="00565030">
        <w:rPr>
          <w:lang w:eastAsia="zh-CN"/>
        </w:rPr>
        <w:t xml:space="preserve"> social</w:t>
      </w:r>
      <w:proofErr w:type="gramEnd"/>
      <w:r w:rsidR="00565030">
        <w:rPr>
          <w:lang w:eastAsia="zh-CN"/>
        </w:rPr>
        <w:t xml:space="preserve"> reasoning</w:t>
      </w:r>
      <w:r w:rsidR="00F619D4">
        <w:rPr>
          <w:lang w:eastAsia="zh-CN"/>
        </w:rPr>
        <w:t xml:space="preserve">, in the encounter with the body of the other, </w:t>
      </w:r>
      <w:r w:rsidR="00565030">
        <w:rPr>
          <w:lang w:eastAsia="zh-CN"/>
        </w:rPr>
        <w:t xml:space="preserve"> and </w:t>
      </w:r>
      <w:r w:rsidR="008C1C09">
        <w:rPr>
          <w:lang w:eastAsia="zh-CN"/>
        </w:rPr>
        <w:t xml:space="preserve">so brings to the </w:t>
      </w:r>
      <w:proofErr w:type="spellStart"/>
      <w:r w:rsidR="00565030">
        <w:rPr>
          <w:lang w:eastAsia="zh-CN"/>
        </w:rPr>
        <w:t>unconditionality</w:t>
      </w:r>
      <w:proofErr w:type="spellEnd"/>
      <w:r w:rsidR="00565030">
        <w:rPr>
          <w:lang w:eastAsia="zh-CN"/>
        </w:rPr>
        <w:t xml:space="preserve"> and power </w:t>
      </w:r>
      <w:r w:rsidR="00F619D4">
        <w:rPr>
          <w:lang w:eastAsia="zh-CN"/>
        </w:rPr>
        <w:t xml:space="preserve">of those </w:t>
      </w:r>
      <w:r w:rsidR="008C1C09">
        <w:rPr>
          <w:lang w:eastAsia="zh-CN"/>
        </w:rPr>
        <w:t xml:space="preserve"> </w:t>
      </w:r>
      <w:r w:rsidR="00F619D4">
        <w:rPr>
          <w:lang w:eastAsia="zh-CN"/>
        </w:rPr>
        <w:t xml:space="preserve">open and pre-thematic processes of evaluation, </w:t>
      </w:r>
      <w:r w:rsidR="006228CB">
        <w:rPr>
          <w:lang w:eastAsia="zh-CN"/>
        </w:rPr>
        <w:t xml:space="preserve">the </w:t>
      </w:r>
      <w:r w:rsidR="00F619D4">
        <w:rPr>
          <w:lang w:eastAsia="zh-CN"/>
        </w:rPr>
        <w:t xml:space="preserve">mind’s </w:t>
      </w:r>
      <w:r w:rsidR="006228CB">
        <w:rPr>
          <w:lang w:eastAsia="zh-CN"/>
        </w:rPr>
        <w:t xml:space="preserve">gift of </w:t>
      </w:r>
      <w:r w:rsidR="00565030">
        <w:rPr>
          <w:lang w:eastAsia="zh-CN"/>
        </w:rPr>
        <w:t xml:space="preserve">freedom? </w:t>
      </w:r>
    </w:p>
    <w:p w14:paraId="7DE5EA50" w14:textId="77777777" w:rsidR="00D35BA7" w:rsidRDefault="00D35BA7" w:rsidP="00CB698A">
      <w:pPr>
        <w:rPr>
          <w:lang w:eastAsia="zh-CN"/>
        </w:rPr>
      </w:pPr>
    </w:p>
    <w:p w14:paraId="49B9E66F" w14:textId="7BCA128D" w:rsidR="00156349" w:rsidRDefault="00156349" w:rsidP="00CB698A">
      <w:pPr>
        <w:rPr>
          <w:lang w:eastAsia="zh-CN"/>
        </w:rPr>
      </w:pPr>
      <w:r>
        <w:rPr>
          <w:lang w:eastAsia="zh-CN"/>
        </w:rPr>
        <w:t>Summary</w:t>
      </w:r>
    </w:p>
    <w:p w14:paraId="5328663E" w14:textId="2A033950" w:rsidR="00D35BA7" w:rsidRDefault="00D35BA7" w:rsidP="00CB698A">
      <w:pPr>
        <w:rPr>
          <w:lang w:eastAsia="zh-CN"/>
        </w:rPr>
      </w:pPr>
      <w:r>
        <w:rPr>
          <w:lang w:eastAsia="zh-CN"/>
        </w:rPr>
        <w:t xml:space="preserve">In this paper we have responded to </w:t>
      </w:r>
      <w:proofErr w:type="spellStart"/>
      <w:r w:rsidR="001316A4">
        <w:rPr>
          <w:lang w:eastAsia="zh-CN"/>
        </w:rPr>
        <w:t>Prof.</w:t>
      </w:r>
      <w:proofErr w:type="spellEnd"/>
      <w:r w:rsidR="001316A4">
        <w:rPr>
          <w:lang w:eastAsia="zh-CN"/>
        </w:rPr>
        <w:t xml:space="preserve"> </w:t>
      </w:r>
      <w:r>
        <w:rPr>
          <w:lang w:eastAsia="zh-CN"/>
        </w:rPr>
        <w:t>Yang</w:t>
      </w:r>
      <w:r w:rsidR="001316A4">
        <w:rPr>
          <w:lang w:eastAsia="zh-CN"/>
        </w:rPr>
        <w:t xml:space="preserve">’s </w:t>
      </w:r>
      <w:r>
        <w:rPr>
          <w:lang w:eastAsia="zh-CN"/>
        </w:rPr>
        <w:t xml:space="preserve"> multi-layered </w:t>
      </w:r>
      <w:proofErr w:type="spellStart"/>
      <w:r>
        <w:rPr>
          <w:lang w:eastAsia="zh-CN"/>
        </w:rPr>
        <w:t>perspectivalism</w:t>
      </w:r>
      <w:proofErr w:type="spellEnd"/>
      <w:r>
        <w:rPr>
          <w:lang w:eastAsia="zh-CN"/>
        </w:rPr>
        <w:t xml:space="preserve"> which has at its heart a </w:t>
      </w:r>
      <w:r w:rsidR="00B66B74">
        <w:rPr>
          <w:lang w:eastAsia="zh-CN"/>
        </w:rPr>
        <w:t xml:space="preserve">constructive </w:t>
      </w:r>
      <w:r>
        <w:rPr>
          <w:lang w:eastAsia="zh-CN"/>
        </w:rPr>
        <w:t xml:space="preserve">concern with the hermeneutics of East-West relations and the </w:t>
      </w:r>
      <w:r>
        <w:rPr>
          <w:lang w:eastAsia="zh-CN"/>
        </w:rPr>
        <w:lastRenderedPageBreak/>
        <w:t xml:space="preserve">development of </w:t>
      </w:r>
      <w:r w:rsidR="003A7E4C">
        <w:rPr>
          <w:lang w:eastAsia="zh-CN"/>
        </w:rPr>
        <w:t xml:space="preserve">dialogue within </w:t>
      </w:r>
      <w:r>
        <w:rPr>
          <w:lang w:eastAsia="zh-CN"/>
        </w:rPr>
        <w:t xml:space="preserve">what he calls simultaneously </w:t>
      </w:r>
      <w:r w:rsidR="00C0287A">
        <w:rPr>
          <w:lang w:eastAsia="zh-CN"/>
        </w:rPr>
        <w:t>“</w:t>
      </w:r>
      <w:r>
        <w:rPr>
          <w:lang w:eastAsia="zh-CN"/>
        </w:rPr>
        <w:t xml:space="preserve">intra- and </w:t>
      </w:r>
      <w:proofErr w:type="spellStart"/>
      <w:r>
        <w:rPr>
          <w:lang w:eastAsia="zh-CN"/>
        </w:rPr>
        <w:t>interlingual</w:t>
      </w:r>
      <w:proofErr w:type="spellEnd"/>
      <w:r>
        <w:rPr>
          <w:lang w:eastAsia="zh-CN"/>
        </w:rPr>
        <w:t xml:space="preserve"> </w:t>
      </w:r>
      <w:r w:rsidR="00C0287A">
        <w:rPr>
          <w:lang w:eastAsia="zh-CN"/>
        </w:rPr>
        <w:t>contexts”</w:t>
      </w:r>
      <w:r w:rsidR="003A7E4C">
        <w:rPr>
          <w:lang w:eastAsia="zh-CN"/>
        </w:rPr>
        <w:t>.</w:t>
      </w:r>
      <w:r w:rsidR="00C0287A">
        <w:rPr>
          <w:rStyle w:val="FootnoteReference"/>
          <w:lang w:eastAsia="zh-CN"/>
        </w:rPr>
        <w:footnoteReference w:id="18"/>
      </w:r>
      <w:r w:rsidR="003A7E4C">
        <w:rPr>
          <w:lang w:eastAsia="zh-CN"/>
        </w:rPr>
        <w:t xml:space="preserve"> Strictly speaking, the scientific  perspective outlined here which captu</w:t>
      </w:r>
      <w:r w:rsidR="00F619D4">
        <w:rPr>
          <w:lang w:eastAsia="zh-CN"/>
        </w:rPr>
        <w:t>res the dynamics that underlie “joint attention”</w:t>
      </w:r>
      <w:r w:rsidR="003A7E4C">
        <w:rPr>
          <w:lang w:eastAsia="zh-CN"/>
        </w:rPr>
        <w:t xml:space="preserve">, cannot be accommodated within either the intra-lingual or </w:t>
      </w:r>
      <w:r w:rsidR="001316A4">
        <w:rPr>
          <w:lang w:eastAsia="zh-CN"/>
        </w:rPr>
        <w:t xml:space="preserve">inter-lingual contexts of </w:t>
      </w:r>
      <w:r w:rsidR="003A7E4C">
        <w:rPr>
          <w:lang w:eastAsia="zh-CN"/>
        </w:rPr>
        <w:t xml:space="preserve">Yang’s thought. </w:t>
      </w:r>
      <w:r w:rsidR="00057909">
        <w:rPr>
          <w:lang w:eastAsia="zh-CN"/>
        </w:rPr>
        <w:t>Arguably</w:t>
      </w:r>
      <w:r w:rsidR="0057772D">
        <w:rPr>
          <w:lang w:eastAsia="zh-CN"/>
        </w:rPr>
        <w:t>,</w:t>
      </w:r>
      <w:r w:rsidR="00057909">
        <w:rPr>
          <w:lang w:eastAsia="zh-CN"/>
        </w:rPr>
        <w:t xml:space="preserve"> </w:t>
      </w:r>
      <w:r w:rsidR="003A7E4C">
        <w:rPr>
          <w:lang w:eastAsia="zh-CN"/>
        </w:rPr>
        <w:t xml:space="preserve">as a fundamental perspective </w:t>
      </w:r>
      <w:r w:rsidR="00C0287A">
        <w:rPr>
          <w:lang w:eastAsia="zh-CN"/>
        </w:rPr>
        <w:t>of “species-wide”</w:t>
      </w:r>
      <w:r w:rsidR="00057909">
        <w:rPr>
          <w:lang w:eastAsia="zh-CN"/>
        </w:rPr>
        <w:t xml:space="preserve"> human </w:t>
      </w:r>
      <w:proofErr w:type="gramStart"/>
      <w:r w:rsidR="00057909">
        <w:rPr>
          <w:lang w:eastAsia="zh-CN"/>
        </w:rPr>
        <w:t>features</w:t>
      </w:r>
      <w:r w:rsidR="007B198F">
        <w:rPr>
          <w:lang w:eastAsia="zh-CN"/>
        </w:rPr>
        <w:t xml:space="preserve">, </w:t>
      </w:r>
      <w:r w:rsidR="00057909">
        <w:rPr>
          <w:lang w:eastAsia="zh-CN"/>
        </w:rPr>
        <w:t xml:space="preserve"> </w:t>
      </w:r>
      <w:r w:rsidR="007B198F">
        <w:rPr>
          <w:lang w:eastAsia="zh-CN"/>
        </w:rPr>
        <w:t>it</w:t>
      </w:r>
      <w:proofErr w:type="gramEnd"/>
      <w:r w:rsidR="007B198F">
        <w:rPr>
          <w:lang w:eastAsia="zh-CN"/>
        </w:rPr>
        <w:t xml:space="preserve"> </w:t>
      </w:r>
      <w:r w:rsidR="003A7E4C">
        <w:rPr>
          <w:lang w:eastAsia="zh-CN"/>
        </w:rPr>
        <w:t>knows nothing of these distinctions. And so th</w:t>
      </w:r>
      <w:r w:rsidR="007B198F">
        <w:rPr>
          <w:lang w:eastAsia="zh-CN"/>
        </w:rPr>
        <w:t xml:space="preserve">e question arises: what can the introduction of this scientific </w:t>
      </w:r>
      <w:r w:rsidR="001316A4">
        <w:rPr>
          <w:lang w:eastAsia="zh-CN"/>
        </w:rPr>
        <w:t xml:space="preserve">perspective contribute </w:t>
      </w:r>
      <w:proofErr w:type="gramStart"/>
      <w:r w:rsidR="001316A4">
        <w:rPr>
          <w:lang w:eastAsia="zh-CN"/>
        </w:rPr>
        <w:t xml:space="preserve">to </w:t>
      </w:r>
      <w:r w:rsidR="003A7E4C">
        <w:rPr>
          <w:lang w:eastAsia="zh-CN"/>
        </w:rPr>
        <w:t xml:space="preserve"> Yang’s</w:t>
      </w:r>
      <w:proofErr w:type="gramEnd"/>
      <w:r w:rsidR="003A7E4C">
        <w:rPr>
          <w:lang w:eastAsia="zh-CN"/>
        </w:rPr>
        <w:t xml:space="preserve"> discussion? And if </w:t>
      </w:r>
      <w:r w:rsidR="0057772D">
        <w:rPr>
          <w:lang w:eastAsia="zh-CN"/>
        </w:rPr>
        <w:t xml:space="preserve">it can make a </w:t>
      </w:r>
      <w:r w:rsidR="003A7E4C">
        <w:rPr>
          <w:lang w:eastAsia="zh-CN"/>
        </w:rPr>
        <w:t>contribution</w:t>
      </w:r>
      <w:r w:rsidR="0057772D">
        <w:rPr>
          <w:lang w:eastAsia="zh-CN"/>
        </w:rPr>
        <w:t xml:space="preserve">, </w:t>
      </w:r>
      <w:r w:rsidR="003A7E4C">
        <w:rPr>
          <w:lang w:eastAsia="zh-CN"/>
        </w:rPr>
        <w:t xml:space="preserve">then </w:t>
      </w:r>
      <w:r w:rsidR="007B198F">
        <w:rPr>
          <w:lang w:eastAsia="zh-CN"/>
        </w:rPr>
        <w:t>what might the relevance of that</w:t>
      </w:r>
      <w:r w:rsidR="003A7E4C">
        <w:rPr>
          <w:lang w:eastAsia="zh-CN"/>
        </w:rPr>
        <w:t xml:space="preserve"> be for future engagements with questions of East-West relations, with respect to both processes and outcomes?</w:t>
      </w:r>
    </w:p>
    <w:p w14:paraId="4FD1C222" w14:textId="58BA7725" w:rsidR="00A44957" w:rsidRDefault="003A7E4C" w:rsidP="00CB698A">
      <w:pPr>
        <w:rPr>
          <w:lang w:eastAsia="zh-CN"/>
        </w:rPr>
      </w:pPr>
      <w:r>
        <w:rPr>
          <w:lang w:eastAsia="zh-CN"/>
        </w:rPr>
        <w:tab/>
      </w:r>
      <w:r w:rsidR="004369D9">
        <w:rPr>
          <w:lang w:eastAsia="zh-CN"/>
        </w:rPr>
        <w:t>It goes without saying that a fundamental perspective can easily become hegemonic</w:t>
      </w:r>
      <w:r w:rsidR="005C4A20">
        <w:rPr>
          <w:lang w:eastAsia="zh-CN"/>
        </w:rPr>
        <w:t>, casting aside all other</w:t>
      </w:r>
      <w:r w:rsidR="0057772D">
        <w:rPr>
          <w:lang w:eastAsia="zh-CN"/>
        </w:rPr>
        <w:t xml:space="preserve"> perspectives, or otherwise “reducing”</w:t>
      </w:r>
      <w:r w:rsidR="0010384D">
        <w:rPr>
          <w:lang w:eastAsia="zh-CN"/>
        </w:rPr>
        <w:t xml:space="preserve"> them</w:t>
      </w:r>
      <w:r w:rsidR="007B198F">
        <w:rPr>
          <w:lang w:eastAsia="zh-CN"/>
        </w:rPr>
        <w:t xml:space="preserve"> to its own necessary limits</w:t>
      </w:r>
      <w:r w:rsidR="0010384D">
        <w:rPr>
          <w:lang w:eastAsia="zh-CN"/>
        </w:rPr>
        <w:t xml:space="preserve">. </w:t>
      </w:r>
      <w:r w:rsidR="00057909">
        <w:rPr>
          <w:lang w:eastAsia="zh-CN"/>
        </w:rPr>
        <w:t xml:space="preserve">Scientific narratives are notoriously reductionist. </w:t>
      </w:r>
      <w:r w:rsidR="00105D89">
        <w:rPr>
          <w:lang w:eastAsia="zh-CN"/>
        </w:rPr>
        <w:t>Let it be clear that we reject this.</w:t>
      </w:r>
      <w:r w:rsidR="0010384D">
        <w:rPr>
          <w:lang w:eastAsia="zh-CN"/>
        </w:rPr>
        <w:t xml:space="preserve"> At the same time, there is a distinction </w:t>
      </w:r>
      <w:r w:rsidR="00057909">
        <w:rPr>
          <w:lang w:eastAsia="zh-CN"/>
        </w:rPr>
        <w:t xml:space="preserve">to be made </w:t>
      </w:r>
      <w:r w:rsidR="0010384D">
        <w:rPr>
          <w:lang w:eastAsia="zh-CN"/>
        </w:rPr>
        <w:t xml:space="preserve">between a fundamental perspective </w:t>
      </w:r>
      <w:r w:rsidR="00105D89">
        <w:rPr>
          <w:lang w:eastAsia="zh-CN"/>
        </w:rPr>
        <w:t>of niche construction</w:t>
      </w:r>
      <w:r w:rsidR="00C0287A">
        <w:rPr>
          <w:lang w:eastAsia="zh-CN"/>
        </w:rPr>
        <w:t xml:space="preserve">, for </w:t>
      </w:r>
      <w:proofErr w:type="gramStart"/>
      <w:r w:rsidR="00C0287A">
        <w:rPr>
          <w:lang w:eastAsia="zh-CN"/>
        </w:rPr>
        <w:t xml:space="preserve">instance, </w:t>
      </w:r>
      <w:r w:rsidR="00105D89">
        <w:rPr>
          <w:lang w:eastAsia="zh-CN"/>
        </w:rPr>
        <w:t xml:space="preserve"> in</w:t>
      </w:r>
      <w:proofErr w:type="gramEnd"/>
      <w:r w:rsidR="00105D89">
        <w:rPr>
          <w:lang w:eastAsia="zh-CN"/>
        </w:rPr>
        <w:t xml:space="preserve"> all its </w:t>
      </w:r>
      <w:r w:rsidR="0057772D">
        <w:rPr>
          <w:lang w:eastAsia="zh-CN"/>
        </w:rPr>
        <w:t xml:space="preserve">pre-thematic </w:t>
      </w:r>
      <w:r w:rsidR="00105D89">
        <w:rPr>
          <w:lang w:eastAsia="zh-CN"/>
        </w:rPr>
        <w:t xml:space="preserve">depth, </w:t>
      </w:r>
      <w:r w:rsidR="0010384D">
        <w:rPr>
          <w:lang w:eastAsia="zh-CN"/>
        </w:rPr>
        <w:t xml:space="preserve">and </w:t>
      </w:r>
      <w:r w:rsidR="00057909">
        <w:rPr>
          <w:lang w:eastAsia="zh-CN"/>
        </w:rPr>
        <w:t xml:space="preserve">the </w:t>
      </w:r>
      <w:r w:rsidR="00105D89">
        <w:rPr>
          <w:lang w:eastAsia="zh-CN"/>
        </w:rPr>
        <w:t xml:space="preserve">conscious </w:t>
      </w:r>
      <w:proofErr w:type="spellStart"/>
      <w:r w:rsidR="00057909">
        <w:rPr>
          <w:lang w:eastAsia="zh-CN"/>
        </w:rPr>
        <w:t>perspectivalism</w:t>
      </w:r>
      <w:proofErr w:type="spellEnd"/>
      <w:r w:rsidR="00057909">
        <w:rPr>
          <w:lang w:eastAsia="zh-CN"/>
        </w:rPr>
        <w:t xml:space="preserve"> of </w:t>
      </w:r>
      <w:r w:rsidR="0057772D">
        <w:rPr>
          <w:lang w:eastAsia="zh-CN"/>
        </w:rPr>
        <w:t>“joint attention”</w:t>
      </w:r>
      <w:r w:rsidR="00057909">
        <w:rPr>
          <w:lang w:eastAsia="zh-CN"/>
        </w:rPr>
        <w:t xml:space="preserve">. We need to ask then what might have changed, </w:t>
      </w:r>
      <w:r w:rsidR="00371F1A">
        <w:rPr>
          <w:lang w:eastAsia="zh-CN"/>
        </w:rPr>
        <w:t xml:space="preserve">if anything, </w:t>
      </w:r>
      <w:r w:rsidR="00057909">
        <w:rPr>
          <w:lang w:eastAsia="zh-CN"/>
        </w:rPr>
        <w:t xml:space="preserve">through the reflections </w:t>
      </w:r>
      <w:r w:rsidR="007B198F">
        <w:rPr>
          <w:lang w:eastAsia="zh-CN"/>
        </w:rPr>
        <w:t xml:space="preserve">introduced </w:t>
      </w:r>
      <w:r w:rsidR="00371F1A">
        <w:rPr>
          <w:lang w:eastAsia="zh-CN"/>
        </w:rPr>
        <w:t>in this paper?</w:t>
      </w:r>
      <w:r w:rsidR="00057909">
        <w:rPr>
          <w:lang w:eastAsia="zh-CN"/>
        </w:rPr>
        <w:t xml:space="preserve"> To cast this in slightly different terms, we need to ask whether and in what way </w:t>
      </w:r>
      <w:r w:rsidR="0010384D">
        <w:rPr>
          <w:lang w:eastAsia="zh-CN"/>
        </w:rPr>
        <w:t xml:space="preserve">a scientific perspective </w:t>
      </w:r>
      <w:r w:rsidR="00105D89">
        <w:rPr>
          <w:lang w:eastAsia="zh-CN"/>
        </w:rPr>
        <w:t xml:space="preserve">which lays bare the hidden or invisible, </w:t>
      </w:r>
      <w:r w:rsidR="00057909">
        <w:rPr>
          <w:lang w:eastAsia="zh-CN"/>
        </w:rPr>
        <w:t xml:space="preserve">might </w:t>
      </w:r>
      <w:r w:rsidR="00105D89">
        <w:rPr>
          <w:lang w:eastAsia="zh-CN"/>
        </w:rPr>
        <w:t xml:space="preserve">potentially make a difference. Can </w:t>
      </w:r>
      <w:r w:rsidR="007B198F">
        <w:rPr>
          <w:lang w:eastAsia="zh-CN"/>
        </w:rPr>
        <w:t xml:space="preserve">it </w:t>
      </w:r>
      <w:r w:rsidR="00105D89">
        <w:rPr>
          <w:lang w:eastAsia="zh-CN"/>
        </w:rPr>
        <w:t xml:space="preserve">for instance </w:t>
      </w:r>
      <w:r w:rsidR="007B198F">
        <w:rPr>
          <w:lang w:eastAsia="zh-CN"/>
        </w:rPr>
        <w:t xml:space="preserve">be </w:t>
      </w:r>
      <w:r w:rsidR="00371F1A">
        <w:rPr>
          <w:lang w:eastAsia="zh-CN"/>
        </w:rPr>
        <w:t xml:space="preserve">humanly </w:t>
      </w:r>
      <w:r w:rsidR="0010384D">
        <w:rPr>
          <w:lang w:eastAsia="zh-CN"/>
        </w:rPr>
        <w:t>transformational</w:t>
      </w:r>
      <w:r w:rsidR="00105D89">
        <w:rPr>
          <w:lang w:eastAsia="zh-CN"/>
        </w:rPr>
        <w:t xml:space="preserve">, precisely at the level of conscious </w:t>
      </w:r>
      <w:r w:rsidR="0057772D">
        <w:rPr>
          <w:lang w:eastAsia="zh-CN"/>
        </w:rPr>
        <w:t xml:space="preserve">and cultural </w:t>
      </w:r>
      <w:proofErr w:type="spellStart"/>
      <w:r w:rsidR="00105D89">
        <w:rPr>
          <w:lang w:eastAsia="zh-CN"/>
        </w:rPr>
        <w:t>perspectivalism</w:t>
      </w:r>
      <w:proofErr w:type="spellEnd"/>
      <w:r w:rsidR="0057772D">
        <w:rPr>
          <w:lang w:eastAsia="zh-CN"/>
        </w:rPr>
        <w:t>, which is where we are – as mind – most at home</w:t>
      </w:r>
      <w:r w:rsidR="0010384D">
        <w:rPr>
          <w:lang w:eastAsia="zh-CN"/>
        </w:rPr>
        <w:t xml:space="preserve">? </w:t>
      </w:r>
    </w:p>
    <w:p w14:paraId="4705AD8F" w14:textId="5CCCCF03" w:rsidR="0058739B" w:rsidRDefault="00057909" w:rsidP="00CB698A">
      <w:pPr>
        <w:rPr>
          <w:lang w:eastAsia="zh-CN"/>
        </w:rPr>
      </w:pPr>
      <w:r>
        <w:rPr>
          <w:lang w:eastAsia="zh-CN"/>
        </w:rPr>
        <w:tab/>
      </w:r>
      <w:r w:rsidR="00EF6281">
        <w:rPr>
          <w:lang w:eastAsia="zh-CN"/>
        </w:rPr>
        <w:t xml:space="preserve">If a direct and disruptive intervention by this fundamental perspective on the human into the </w:t>
      </w:r>
      <w:r w:rsidR="007B198F">
        <w:rPr>
          <w:lang w:eastAsia="zh-CN"/>
        </w:rPr>
        <w:t>careful</w:t>
      </w:r>
      <w:r w:rsidR="005D1415">
        <w:rPr>
          <w:lang w:eastAsia="zh-CN"/>
        </w:rPr>
        <w:t>,</w:t>
      </w:r>
      <w:r w:rsidR="007B198F">
        <w:rPr>
          <w:lang w:eastAsia="zh-CN"/>
        </w:rPr>
        <w:t xml:space="preserve"> </w:t>
      </w:r>
      <w:r w:rsidR="001316A4">
        <w:rPr>
          <w:lang w:eastAsia="zh-CN"/>
        </w:rPr>
        <w:t xml:space="preserve">hermeneutical layering of </w:t>
      </w:r>
      <w:r w:rsidR="00EF6281">
        <w:rPr>
          <w:lang w:eastAsia="zh-CN"/>
        </w:rPr>
        <w:t xml:space="preserve">Yang’s composition is to be </w:t>
      </w:r>
      <w:r w:rsidR="007B198F">
        <w:rPr>
          <w:lang w:eastAsia="zh-CN"/>
        </w:rPr>
        <w:t xml:space="preserve">wholly </w:t>
      </w:r>
      <w:r w:rsidR="00EF6281">
        <w:rPr>
          <w:lang w:eastAsia="zh-CN"/>
        </w:rPr>
        <w:t xml:space="preserve">ruled out, </w:t>
      </w:r>
      <w:r w:rsidR="00905AC1">
        <w:rPr>
          <w:lang w:eastAsia="zh-CN"/>
        </w:rPr>
        <w:t xml:space="preserve">as a </w:t>
      </w:r>
      <w:r w:rsidR="00C81BA4">
        <w:rPr>
          <w:lang w:eastAsia="zh-CN"/>
        </w:rPr>
        <w:t xml:space="preserve">reductive </w:t>
      </w:r>
      <w:r w:rsidR="00905AC1">
        <w:rPr>
          <w:lang w:eastAsia="zh-CN"/>
        </w:rPr>
        <w:t xml:space="preserve">transgression of the laws of perspective, then what remains is the possibility of a </w:t>
      </w:r>
      <w:r w:rsidR="00905AC1" w:rsidRPr="00905AC1">
        <w:rPr>
          <w:i/>
          <w:lang w:eastAsia="zh-CN"/>
        </w:rPr>
        <w:t>re-contextualization</w:t>
      </w:r>
      <w:r w:rsidR="00905AC1">
        <w:rPr>
          <w:lang w:eastAsia="zh-CN"/>
        </w:rPr>
        <w:t>. The fundamental nature of the scientific perspective means that the</w:t>
      </w:r>
      <w:r w:rsidR="005D1415">
        <w:rPr>
          <w:lang w:eastAsia="zh-CN"/>
        </w:rPr>
        <w:t xml:space="preserve"> various implicit and explicit “higher-level”</w:t>
      </w:r>
      <w:r w:rsidR="00905AC1">
        <w:rPr>
          <w:lang w:eastAsia="zh-CN"/>
        </w:rPr>
        <w:t xml:space="preserve"> arguments </w:t>
      </w:r>
      <w:r w:rsidR="008847E4">
        <w:rPr>
          <w:lang w:eastAsia="zh-CN"/>
        </w:rPr>
        <w:t xml:space="preserve">of his paper are in varying degrees </w:t>
      </w:r>
      <w:r w:rsidR="005D1415">
        <w:rPr>
          <w:lang w:eastAsia="zh-CN"/>
        </w:rPr>
        <w:t>“</w:t>
      </w:r>
      <w:r w:rsidR="008847E4">
        <w:rPr>
          <w:lang w:eastAsia="zh-CN"/>
        </w:rPr>
        <w:t>placed</w:t>
      </w:r>
      <w:r w:rsidR="005D1415">
        <w:rPr>
          <w:lang w:eastAsia="zh-CN"/>
        </w:rPr>
        <w:t>”</w:t>
      </w:r>
      <w:r w:rsidR="007B198F">
        <w:rPr>
          <w:lang w:eastAsia="zh-CN"/>
        </w:rPr>
        <w:t xml:space="preserve"> within a broader context</w:t>
      </w:r>
      <w:r w:rsidR="008847E4">
        <w:rPr>
          <w:lang w:eastAsia="zh-CN"/>
        </w:rPr>
        <w:t xml:space="preserve">. </w:t>
      </w:r>
      <w:r w:rsidR="0058739B">
        <w:rPr>
          <w:lang w:eastAsia="zh-CN"/>
        </w:rPr>
        <w:t xml:space="preserve">We can explain this in the following terms. </w:t>
      </w:r>
    </w:p>
    <w:p w14:paraId="69B5902D" w14:textId="2AFBC1FB" w:rsidR="00D56495" w:rsidRDefault="0058739B" w:rsidP="00CB698A">
      <w:pPr>
        <w:rPr>
          <w:lang w:eastAsia="zh-CN"/>
        </w:rPr>
      </w:pPr>
      <w:r>
        <w:rPr>
          <w:lang w:eastAsia="zh-CN"/>
        </w:rPr>
        <w:tab/>
      </w:r>
      <w:r w:rsidR="008847E4">
        <w:rPr>
          <w:lang w:eastAsia="zh-CN"/>
        </w:rPr>
        <w:t xml:space="preserve">Ricci and Foucault </w:t>
      </w:r>
      <w:r w:rsidR="007B198F">
        <w:rPr>
          <w:lang w:eastAsia="zh-CN"/>
        </w:rPr>
        <w:t>both show</w:t>
      </w:r>
      <w:r w:rsidR="008847E4">
        <w:rPr>
          <w:lang w:eastAsia="zh-CN"/>
        </w:rPr>
        <w:t xml:space="preserve"> a preference for what we might call today a rigorously non-dualist understanding of the human, or one reflecti</w:t>
      </w:r>
      <w:r w:rsidR="005D1415">
        <w:rPr>
          <w:lang w:eastAsia="zh-CN"/>
        </w:rPr>
        <w:t xml:space="preserve">ng what Max </w:t>
      </w:r>
      <w:proofErr w:type="spellStart"/>
      <w:r w:rsidR="005D1415">
        <w:rPr>
          <w:lang w:eastAsia="zh-CN"/>
        </w:rPr>
        <w:t>Velmans</w:t>
      </w:r>
      <w:proofErr w:type="spellEnd"/>
      <w:r w:rsidR="005D1415">
        <w:rPr>
          <w:lang w:eastAsia="zh-CN"/>
        </w:rPr>
        <w:t xml:space="preserve"> has called “reflexive monism”</w:t>
      </w:r>
      <w:r w:rsidR="008847E4">
        <w:rPr>
          <w:lang w:eastAsia="zh-CN"/>
        </w:rPr>
        <w:t>.</w:t>
      </w:r>
      <w:r w:rsidR="00946138">
        <w:rPr>
          <w:rStyle w:val="FootnoteReference"/>
          <w:lang w:eastAsia="zh-CN"/>
        </w:rPr>
        <w:footnoteReference w:id="19"/>
      </w:r>
      <w:r w:rsidR="001316A4">
        <w:rPr>
          <w:lang w:eastAsia="zh-CN"/>
        </w:rPr>
        <w:t xml:space="preserve"> </w:t>
      </w:r>
      <w:r w:rsidR="008847E4">
        <w:rPr>
          <w:lang w:eastAsia="zh-CN"/>
        </w:rPr>
        <w:t xml:space="preserve">Yang gives every indication that he too is of this persuasion. The opposing arguments for dualism, or moderated dualism, are </w:t>
      </w:r>
      <w:r w:rsidR="00B46F60">
        <w:rPr>
          <w:lang w:eastAsia="zh-CN"/>
        </w:rPr>
        <w:t xml:space="preserve">implied though </w:t>
      </w:r>
      <w:r w:rsidR="008847E4">
        <w:rPr>
          <w:lang w:eastAsia="zh-CN"/>
        </w:rPr>
        <w:t>not developed</w:t>
      </w:r>
      <w:r w:rsidR="00B46F60">
        <w:rPr>
          <w:lang w:eastAsia="zh-CN"/>
        </w:rPr>
        <w:t xml:space="preserve">. </w:t>
      </w:r>
      <w:r w:rsidR="00D317A0">
        <w:rPr>
          <w:lang w:eastAsia="zh-CN"/>
        </w:rPr>
        <w:t xml:space="preserve">In its focus on Epictetus’ </w:t>
      </w:r>
      <w:proofErr w:type="spellStart"/>
      <w:r w:rsidR="00D317A0" w:rsidRPr="00D317A0">
        <w:rPr>
          <w:i/>
          <w:lang w:eastAsia="zh-CN"/>
        </w:rPr>
        <w:t>Encheiridion</w:t>
      </w:r>
      <w:proofErr w:type="spellEnd"/>
      <w:r w:rsidR="00D317A0">
        <w:rPr>
          <w:lang w:eastAsia="zh-CN"/>
        </w:rPr>
        <w:t xml:space="preserve">, the paper declares an advocacy for ‘self-cultivation’ as a process of moral learning within action. </w:t>
      </w:r>
      <w:r w:rsidR="00B41FDA">
        <w:rPr>
          <w:lang w:eastAsia="zh-CN"/>
        </w:rPr>
        <w:t xml:space="preserve">However, its </w:t>
      </w:r>
      <w:r>
        <w:rPr>
          <w:lang w:eastAsia="zh-CN"/>
        </w:rPr>
        <w:t xml:space="preserve">truly </w:t>
      </w:r>
      <w:r w:rsidR="007909CE">
        <w:rPr>
          <w:lang w:eastAsia="zh-CN"/>
        </w:rPr>
        <w:t xml:space="preserve">dialogical moment turns </w:t>
      </w:r>
      <w:r w:rsidR="003A1061">
        <w:rPr>
          <w:lang w:eastAsia="zh-CN"/>
        </w:rPr>
        <w:t xml:space="preserve">on </w:t>
      </w:r>
      <w:r w:rsidR="007909CE">
        <w:rPr>
          <w:lang w:eastAsia="zh-CN"/>
        </w:rPr>
        <w:t>the resonance between Ricci and Foucault as each reaches</w:t>
      </w:r>
      <w:r w:rsidR="00747CB3">
        <w:rPr>
          <w:lang w:eastAsia="zh-CN"/>
        </w:rPr>
        <w:t xml:space="preserve">, for </w:t>
      </w:r>
      <w:r w:rsidR="005C1A21">
        <w:rPr>
          <w:lang w:eastAsia="zh-CN"/>
        </w:rPr>
        <w:t xml:space="preserve">different though intertwining </w:t>
      </w:r>
      <w:r w:rsidR="007909CE">
        <w:rPr>
          <w:lang w:eastAsia="zh-CN"/>
        </w:rPr>
        <w:t>reasons</w:t>
      </w:r>
      <w:r w:rsidR="00747CB3">
        <w:rPr>
          <w:lang w:eastAsia="zh-CN"/>
        </w:rPr>
        <w:t>,</w:t>
      </w:r>
      <w:r w:rsidR="007909CE">
        <w:rPr>
          <w:lang w:eastAsia="zh-CN"/>
        </w:rPr>
        <w:t xml:space="preserve"> to the same Stoic</w:t>
      </w:r>
      <w:r w:rsidR="007B198F">
        <w:rPr>
          <w:lang w:eastAsia="zh-CN"/>
        </w:rPr>
        <w:t xml:space="preserve"> tradition of an integrated act and learning</w:t>
      </w:r>
      <w:r w:rsidR="005C1A21">
        <w:rPr>
          <w:lang w:eastAsia="zh-CN"/>
        </w:rPr>
        <w:t xml:space="preserve"> (Ricci since it will recommend his Christian work to the Chinese, and Foucault since it contests the canonically Western </w:t>
      </w:r>
      <w:proofErr w:type="spellStart"/>
      <w:r w:rsidR="005C1A21">
        <w:rPr>
          <w:lang w:eastAsia="zh-CN"/>
        </w:rPr>
        <w:t>Cartesianism</w:t>
      </w:r>
      <w:proofErr w:type="spellEnd"/>
      <w:r w:rsidR="005C1A21">
        <w:rPr>
          <w:rStyle w:val="FootnoteReference"/>
          <w:lang w:eastAsia="zh-CN"/>
        </w:rPr>
        <w:footnoteReference w:id="20"/>
      </w:r>
      <w:r w:rsidR="005C1A21">
        <w:rPr>
          <w:lang w:eastAsia="zh-CN"/>
        </w:rPr>
        <w:t>)</w:t>
      </w:r>
      <w:r w:rsidR="007B198F">
        <w:rPr>
          <w:lang w:eastAsia="zh-CN"/>
        </w:rPr>
        <w:t>.</w:t>
      </w:r>
      <w:r w:rsidR="001316A4">
        <w:rPr>
          <w:lang w:eastAsia="zh-CN"/>
        </w:rPr>
        <w:t xml:space="preserve"> It is this resonance that </w:t>
      </w:r>
      <w:r w:rsidR="007B198F">
        <w:rPr>
          <w:lang w:eastAsia="zh-CN"/>
        </w:rPr>
        <w:t xml:space="preserve">Yang </w:t>
      </w:r>
      <w:r w:rsidR="005C1A21">
        <w:rPr>
          <w:lang w:eastAsia="zh-CN"/>
        </w:rPr>
        <w:t xml:space="preserve">artfully </w:t>
      </w:r>
      <w:r w:rsidR="007B198F">
        <w:rPr>
          <w:lang w:eastAsia="zh-CN"/>
        </w:rPr>
        <w:t xml:space="preserve">places within the context of </w:t>
      </w:r>
      <w:r w:rsidR="007909CE">
        <w:rPr>
          <w:lang w:eastAsia="zh-CN"/>
        </w:rPr>
        <w:t>East-West dialogue</w:t>
      </w:r>
      <w:r w:rsidR="00836241">
        <w:rPr>
          <w:lang w:eastAsia="zh-CN"/>
        </w:rPr>
        <w:t xml:space="preserve"> in his paper</w:t>
      </w:r>
      <w:r w:rsidR="007B198F">
        <w:rPr>
          <w:lang w:eastAsia="zh-CN"/>
        </w:rPr>
        <w:t xml:space="preserve">, as an implicit appeal </w:t>
      </w:r>
      <w:r w:rsidR="0089422A">
        <w:rPr>
          <w:lang w:eastAsia="zh-CN"/>
        </w:rPr>
        <w:t xml:space="preserve">– as I read it - </w:t>
      </w:r>
      <w:r w:rsidR="007B198F">
        <w:rPr>
          <w:lang w:eastAsia="zh-CN"/>
        </w:rPr>
        <w:t xml:space="preserve">to the possibility that the Chinese </w:t>
      </w:r>
      <w:r w:rsidR="00FD78E1">
        <w:rPr>
          <w:lang w:eastAsia="zh-CN"/>
        </w:rPr>
        <w:t xml:space="preserve">phrase concerning the </w:t>
      </w:r>
      <w:r w:rsidR="007B198F">
        <w:rPr>
          <w:rFonts w:ascii="Garamond" w:hAnsi="Garamond"/>
          <w:lang w:eastAsia="zh-CN"/>
        </w:rPr>
        <w:t>‘</w:t>
      </w:r>
      <w:r w:rsidR="00836241">
        <w:rPr>
          <w:lang w:eastAsia="zh-CN"/>
        </w:rPr>
        <w:t>u</w:t>
      </w:r>
      <w:r w:rsidR="007B198F" w:rsidRPr="007B198F">
        <w:rPr>
          <w:lang w:eastAsia="zh-CN"/>
        </w:rPr>
        <w:t xml:space="preserve">nity of </w:t>
      </w:r>
      <w:r w:rsidR="007B198F" w:rsidRPr="00836241">
        <w:rPr>
          <w:lang w:eastAsia="zh-CN"/>
        </w:rPr>
        <w:t>knowing and application’</w:t>
      </w:r>
      <w:r w:rsidR="007B198F" w:rsidRPr="00836241">
        <w:rPr>
          <w:rFonts w:ascii="Garamond" w:hAnsi="Garamond"/>
          <w:lang w:eastAsia="zh-CN"/>
        </w:rPr>
        <w:t xml:space="preserve"> </w:t>
      </w:r>
      <w:r w:rsidR="007B198F" w:rsidRPr="00747CB3">
        <w:rPr>
          <w:lang w:eastAsia="zh-CN"/>
        </w:rPr>
        <w:t>(</w:t>
      </w:r>
      <w:proofErr w:type="spellStart"/>
      <w:r w:rsidR="007B198F" w:rsidRPr="00747CB3">
        <w:rPr>
          <w:i/>
          <w:lang w:eastAsia="zh-CN"/>
        </w:rPr>
        <w:t>zhi</w:t>
      </w:r>
      <w:proofErr w:type="spellEnd"/>
      <w:r w:rsidR="007B198F" w:rsidRPr="00747CB3">
        <w:rPr>
          <w:i/>
          <w:lang w:eastAsia="zh-CN"/>
        </w:rPr>
        <w:t xml:space="preserve"> </w:t>
      </w:r>
      <w:proofErr w:type="spellStart"/>
      <w:r w:rsidR="007B198F" w:rsidRPr="00747CB3">
        <w:rPr>
          <w:i/>
          <w:lang w:eastAsia="zh-CN"/>
        </w:rPr>
        <w:t>xing</w:t>
      </w:r>
      <w:proofErr w:type="spellEnd"/>
      <w:r w:rsidR="007B198F" w:rsidRPr="00747CB3">
        <w:rPr>
          <w:i/>
          <w:lang w:eastAsia="zh-CN"/>
        </w:rPr>
        <w:t xml:space="preserve"> he </w:t>
      </w:r>
      <w:proofErr w:type="spellStart"/>
      <w:r w:rsidR="007B198F" w:rsidRPr="00747CB3">
        <w:rPr>
          <w:i/>
          <w:lang w:eastAsia="zh-CN"/>
        </w:rPr>
        <w:t>yi</w:t>
      </w:r>
      <w:proofErr w:type="spellEnd"/>
      <w:r w:rsidR="00747CB3">
        <w:rPr>
          <w:i/>
          <w:lang w:eastAsia="zh-CN"/>
        </w:rPr>
        <w:t xml:space="preserve"> </w:t>
      </w:r>
      <w:r w:rsidR="007B198F" w:rsidRPr="00747CB3">
        <w:rPr>
          <w:lang w:eastAsia="zh-CN"/>
        </w:rPr>
        <w:t xml:space="preserve">知行合一) </w:t>
      </w:r>
      <w:r w:rsidR="002E655E" w:rsidRPr="002E655E">
        <w:rPr>
          <w:lang w:eastAsia="zh-CN"/>
        </w:rPr>
        <w:t xml:space="preserve">may </w:t>
      </w:r>
      <w:r w:rsidR="003A1061">
        <w:rPr>
          <w:lang w:eastAsia="zh-CN"/>
        </w:rPr>
        <w:t xml:space="preserve">point to a hitherto </w:t>
      </w:r>
      <w:r w:rsidR="00B41FDA">
        <w:rPr>
          <w:lang w:eastAsia="zh-CN"/>
        </w:rPr>
        <w:t xml:space="preserve">unconsidered possibility or resource for a new level of dialogue. </w:t>
      </w:r>
      <w:r w:rsidR="00D56495">
        <w:rPr>
          <w:lang w:eastAsia="zh-CN"/>
        </w:rPr>
        <w:t xml:space="preserve">If Ricci knew </w:t>
      </w:r>
      <w:proofErr w:type="gramStart"/>
      <w:r w:rsidR="00D56495">
        <w:rPr>
          <w:lang w:eastAsia="zh-CN"/>
        </w:rPr>
        <w:t>that</w:t>
      </w:r>
      <w:r w:rsidR="003A1061">
        <w:rPr>
          <w:lang w:eastAsia="zh-CN"/>
        </w:rPr>
        <w:t>,</w:t>
      </w:r>
      <w:r w:rsidR="00D56495">
        <w:rPr>
          <w:lang w:eastAsia="zh-CN"/>
        </w:rPr>
        <w:t xml:space="preserve">  and</w:t>
      </w:r>
      <w:proofErr w:type="gramEnd"/>
      <w:r w:rsidR="00D56495">
        <w:rPr>
          <w:lang w:eastAsia="zh-CN"/>
        </w:rPr>
        <w:t xml:space="preserve"> </w:t>
      </w:r>
      <w:r w:rsidR="003A1061">
        <w:rPr>
          <w:lang w:eastAsia="zh-CN"/>
        </w:rPr>
        <w:t xml:space="preserve">if </w:t>
      </w:r>
      <w:r w:rsidR="00D56495">
        <w:rPr>
          <w:lang w:eastAsia="zh-CN"/>
        </w:rPr>
        <w:t>Foucault follows Ricci (</w:t>
      </w:r>
      <w:r w:rsidR="003A1061">
        <w:rPr>
          <w:lang w:eastAsia="zh-CN"/>
        </w:rPr>
        <w:t xml:space="preserve">albeit </w:t>
      </w:r>
      <w:r w:rsidR="00D56495">
        <w:rPr>
          <w:lang w:eastAsia="zh-CN"/>
        </w:rPr>
        <w:t>unknowingly), then there must be a good case for the view that this could be a significant point of cont</w:t>
      </w:r>
      <w:r w:rsidR="003A1061">
        <w:rPr>
          <w:lang w:eastAsia="zh-CN"/>
        </w:rPr>
        <w:t xml:space="preserve">act between East and West, even perhaps constituting </w:t>
      </w:r>
      <w:r w:rsidR="00D56495">
        <w:rPr>
          <w:lang w:eastAsia="zh-CN"/>
        </w:rPr>
        <w:t xml:space="preserve">a </w:t>
      </w:r>
      <w:r w:rsidR="003A1061">
        <w:rPr>
          <w:lang w:eastAsia="zh-CN"/>
        </w:rPr>
        <w:t xml:space="preserve">new </w:t>
      </w:r>
      <w:r w:rsidR="00D56495">
        <w:rPr>
          <w:lang w:eastAsia="zh-CN"/>
        </w:rPr>
        <w:t xml:space="preserve">methodology for conducting positive dialogue. </w:t>
      </w:r>
    </w:p>
    <w:p w14:paraId="631371DF" w14:textId="73BD1384" w:rsidR="008070CB" w:rsidRDefault="00D56495" w:rsidP="00CB698A">
      <w:pPr>
        <w:rPr>
          <w:lang w:eastAsia="zh-CN"/>
        </w:rPr>
      </w:pPr>
      <w:r>
        <w:rPr>
          <w:lang w:eastAsia="zh-CN"/>
        </w:rPr>
        <w:lastRenderedPageBreak/>
        <w:tab/>
      </w:r>
      <w:r w:rsidR="00B41FDA">
        <w:rPr>
          <w:lang w:eastAsia="zh-CN"/>
        </w:rPr>
        <w:t xml:space="preserve">But two </w:t>
      </w:r>
      <w:r>
        <w:rPr>
          <w:lang w:eastAsia="zh-CN"/>
        </w:rPr>
        <w:t xml:space="preserve">quite different </w:t>
      </w:r>
      <w:r w:rsidR="00B41FDA">
        <w:rPr>
          <w:lang w:eastAsia="zh-CN"/>
        </w:rPr>
        <w:t>things are in pla</w:t>
      </w:r>
      <w:r w:rsidR="00156349">
        <w:rPr>
          <w:lang w:eastAsia="zh-CN"/>
        </w:rPr>
        <w:t xml:space="preserve">y here. Firstly, there is </w:t>
      </w:r>
      <w:r w:rsidR="00B41FDA">
        <w:rPr>
          <w:lang w:eastAsia="zh-CN"/>
        </w:rPr>
        <w:t xml:space="preserve">Yang’s </w:t>
      </w:r>
      <w:r w:rsidR="008070CB">
        <w:rPr>
          <w:lang w:eastAsia="zh-CN"/>
        </w:rPr>
        <w:t xml:space="preserve">quoting </w:t>
      </w:r>
      <w:r w:rsidR="00B41FDA">
        <w:rPr>
          <w:lang w:eastAsia="zh-CN"/>
        </w:rPr>
        <w:t xml:space="preserve">of these phrases, drawn from classical Chinese literature, </w:t>
      </w:r>
      <w:r w:rsidR="003A1061">
        <w:rPr>
          <w:lang w:eastAsia="zh-CN"/>
        </w:rPr>
        <w:t xml:space="preserve">which invite </w:t>
      </w:r>
      <w:r w:rsidR="008070CB">
        <w:rPr>
          <w:lang w:eastAsia="zh-CN"/>
        </w:rPr>
        <w:t xml:space="preserve">the reader to consider that such a thing </w:t>
      </w:r>
      <w:r w:rsidR="003A1061">
        <w:rPr>
          <w:lang w:eastAsia="zh-CN"/>
        </w:rPr>
        <w:t xml:space="preserve">might be </w:t>
      </w:r>
      <w:r w:rsidR="006C2CDB">
        <w:rPr>
          <w:lang w:eastAsia="zh-CN"/>
        </w:rPr>
        <w:t>thinkable</w:t>
      </w:r>
      <w:r>
        <w:rPr>
          <w:lang w:eastAsia="zh-CN"/>
        </w:rPr>
        <w:t xml:space="preserve"> (“let’s think about ….”). But </w:t>
      </w:r>
      <w:r w:rsidR="00B41FDA">
        <w:rPr>
          <w:lang w:eastAsia="zh-CN"/>
        </w:rPr>
        <w:t>secondly</w:t>
      </w:r>
      <w:r>
        <w:rPr>
          <w:lang w:eastAsia="zh-CN"/>
        </w:rPr>
        <w:t>,</w:t>
      </w:r>
      <w:r w:rsidR="00B41FDA">
        <w:rPr>
          <w:lang w:eastAsia="zh-CN"/>
        </w:rPr>
        <w:t xml:space="preserve"> there is </w:t>
      </w:r>
      <w:r>
        <w:rPr>
          <w:lang w:eastAsia="zh-CN"/>
        </w:rPr>
        <w:t xml:space="preserve">the underlying sense of his conviction that such a state, such a resource, </w:t>
      </w:r>
      <w:r w:rsidR="00ED4E81">
        <w:rPr>
          <w:lang w:eastAsia="zh-CN"/>
        </w:rPr>
        <w:t xml:space="preserve">this </w:t>
      </w:r>
      <w:r w:rsidR="00156349">
        <w:rPr>
          <w:lang w:eastAsia="zh-CN"/>
        </w:rPr>
        <w:t>“</w:t>
      </w:r>
      <w:r w:rsidR="00ED4E81">
        <w:rPr>
          <w:lang w:eastAsia="zh-CN"/>
        </w:rPr>
        <w:t>meaning structure</w:t>
      </w:r>
      <w:r w:rsidR="00156349">
        <w:rPr>
          <w:lang w:eastAsia="zh-CN"/>
        </w:rPr>
        <w:t>”</w:t>
      </w:r>
      <w:r w:rsidR="000C5D36">
        <w:rPr>
          <w:lang w:eastAsia="zh-CN"/>
        </w:rPr>
        <w:t xml:space="preserve"> as a calls it</w:t>
      </w:r>
      <w:r w:rsidR="00156349">
        <w:rPr>
          <w:lang w:eastAsia="zh-CN"/>
        </w:rPr>
        <w:t>,</w:t>
      </w:r>
      <w:r w:rsidR="00ED4E81">
        <w:rPr>
          <w:lang w:eastAsia="zh-CN"/>
        </w:rPr>
        <w:t xml:space="preserve"> </w:t>
      </w:r>
      <w:r>
        <w:rPr>
          <w:lang w:eastAsia="zh-CN"/>
        </w:rPr>
        <w:t xml:space="preserve">actually exists. Yang communicates to us as someone who is </w:t>
      </w:r>
      <w:r w:rsidRPr="00D56495">
        <w:rPr>
          <w:i/>
          <w:lang w:eastAsia="zh-CN"/>
        </w:rPr>
        <w:t>experientially</w:t>
      </w:r>
      <w:r>
        <w:rPr>
          <w:lang w:eastAsia="zh-CN"/>
        </w:rPr>
        <w:t xml:space="preserve"> internal to the Chinese tradition. And so we are left then with the familiar separation between a Western reader, who may discern notionally </w:t>
      </w:r>
      <w:r w:rsidR="00156349">
        <w:rPr>
          <w:lang w:eastAsia="zh-CN"/>
        </w:rPr>
        <w:t xml:space="preserve">what </w:t>
      </w:r>
      <w:r>
        <w:rPr>
          <w:lang w:eastAsia="zh-CN"/>
        </w:rPr>
        <w:t>Yang is saying while sharing little of his sense of the potential reality or realization of that unity of knowledge and application</w:t>
      </w:r>
      <w:r w:rsidR="000C5D36">
        <w:rPr>
          <w:lang w:eastAsia="zh-CN"/>
        </w:rPr>
        <w:t xml:space="preserve"> which is in general markedly more characteristic of the Chinese tradition than it is in the Western one. </w:t>
      </w:r>
    </w:p>
    <w:p w14:paraId="54790992" w14:textId="4787A0E2" w:rsidR="00156349" w:rsidRDefault="00156349" w:rsidP="00CB698A">
      <w:pPr>
        <w:rPr>
          <w:lang w:eastAsia="zh-CN"/>
        </w:rPr>
      </w:pPr>
      <w:r>
        <w:rPr>
          <w:lang w:eastAsia="zh-CN"/>
        </w:rPr>
        <w:tab/>
        <w:t xml:space="preserve">This is a familiar and seemingly unresolvable impasse. This material looks very different according to whether we are Chinese or Western. And whichever we are, that tradition and way of seeing things will seem natural. </w:t>
      </w:r>
      <w:r w:rsidR="007E22EF">
        <w:rPr>
          <w:lang w:eastAsia="zh-CN"/>
        </w:rPr>
        <w:t>The challenge of c</w:t>
      </w:r>
      <w:r>
        <w:rPr>
          <w:lang w:eastAsia="zh-CN"/>
        </w:rPr>
        <w:t xml:space="preserve">ultural difference, </w:t>
      </w:r>
      <w:r w:rsidR="007E22EF">
        <w:rPr>
          <w:lang w:eastAsia="zh-CN"/>
        </w:rPr>
        <w:t xml:space="preserve">of </w:t>
      </w:r>
      <w:proofErr w:type="spellStart"/>
      <w:r>
        <w:rPr>
          <w:lang w:eastAsia="zh-CN"/>
        </w:rPr>
        <w:t>perspectivalism</w:t>
      </w:r>
      <w:proofErr w:type="spellEnd"/>
      <w:r>
        <w:rPr>
          <w:lang w:eastAsia="zh-CN"/>
        </w:rPr>
        <w:t xml:space="preserve">, in the inter-cultural dialogue between East and West, </w:t>
      </w:r>
      <w:r w:rsidR="000C5D36">
        <w:rPr>
          <w:lang w:eastAsia="zh-CN"/>
        </w:rPr>
        <w:t>asserts itself once again.</w:t>
      </w:r>
      <w:r>
        <w:rPr>
          <w:lang w:eastAsia="zh-CN"/>
        </w:rPr>
        <w:t xml:space="preserve"> </w:t>
      </w:r>
    </w:p>
    <w:p w14:paraId="73ED3A00" w14:textId="77777777" w:rsidR="00D56495" w:rsidRDefault="00D56495" w:rsidP="00CB698A">
      <w:pPr>
        <w:rPr>
          <w:lang w:eastAsia="zh-CN"/>
        </w:rPr>
      </w:pPr>
    </w:p>
    <w:p w14:paraId="54B4E13C" w14:textId="7DF561E7" w:rsidR="00156349" w:rsidRDefault="00156349" w:rsidP="00156349">
      <w:pPr>
        <w:rPr>
          <w:lang w:eastAsia="zh-CN"/>
        </w:rPr>
      </w:pPr>
      <w:r>
        <w:rPr>
          <w:lang w:eastAsia="zh-CN"/>
        </w:rPr>
        <w:t>THE SCIENTIFIC PERSPECTIVE AND THE FUTURE OF EAST-WEST DIALOGUE</w:t>
      </w:r>
    </w:p>
    <w:p w14:paraId="4C5DC127" w14:textId="50217FAB" w:rsidR="00D56495" w:rsidRDefault="006345F9" w:rsidP="00CB698A">
      <w:pPr>
        <w:rPr>
          <w:lang w:eastAsia="zh-CN"/>
        </w:rPr>
      </w:pPr>
      <w:r>
        <w:rPr>
          <w:lang w:eastAsia="zh-CN"/>
        </w:rPr>
        <w:t>What then might a scientific re-contextualisation of this dialogue</w:t>
      </w:r>
      <w:r w:rsidR="00DA4E60">
        <w:rPr>
          <w:lang w:eastAsia="zh-CN"/>
        </w:rPr>
        <w:t xml:space="preserve"> mean, as presented by </w:t>
      </w:r>
      <w:proofErr w:type="spellStart"/>
      <w:r w:rsidR="001316A4">
        <w:rPr>
          <w:lang w:eastAsia="zh-CN"/>
        </w:rPr>
        <w:t>Prof.</w:t>
      </w:r>
      <w:proofErr w:type="spellEnd"/>
      <w:r w:rsidR="001316A4">
        <w:rPr>
          <w:lang w:eastAsia="zh-CN"/>
        </w:rPr>
        <w:t xml:space="preserve"> </w:t>
      </w:r>
      <w:proofErr w:type="gramStart"/>
      <w:r w:rsidR="001316A4">
        <w:rPr>
          <w:lang w:eastAsia="zh-CN"/>
        </w:rPr>
        <w:t xml:space="preserve">Yang </w:t>
      </w:r>
      <w:r w:rsidR="00B57192">
        <w:rPr>
          <w:lang w:eastAsia="zh-CN"/>
        </w:rPr>
        <w:t xml:space="preserve"> in</w:t>
      </w:r>
      <w:proofErr w:type="gramEnd"/>
      <w:r w:rsidR="00B57192">
        <w:rPr>
          <w:lang w:eastAsia="zh-CN"/>
        </w:rPr>
        <w:t xml:space="preserve"> t</w:t>
      </w:r>
      <w:r w:rsidR="00DA4E60">
        <w:rPr>
          <w:lang w:eastAsia="zh-CN"/>
        </w:rPr>
        <w:t>his paper</w:t>
      </w:r>
      <w:r>
        <w:rPr>
          <w:lang w:eastAsia="zh-CN"/>
        </w:rPr>
        <w:t xml:space="preserve">? </w:t>
      </w:r>
      <w:r w:rsidR="00DA4E60">
        <w:rPr>
          <w:lang w:eastAsia="zh-CN"/>
        </w:rPr>
        <w:t xml:space="preserve">We have provided the elements of that in our central section, where “joint attention”, “niche construction” and “participative sense-making” </w:t>
      </w:r>
      <w:r w:rsidR="003653BF">
        <w:rPr>
          <w:lang w:eastAsia="zh-CN"/>
        </w:rPr>
        <w:t xml:space="preserve">all play a role. </w:t>
      </w:r>
      <w:r w:rsidR="003F44FF">
        <w:rPr>
          <w:lang w:eastAsia="zh-CN"/>
        </w:rPr>
        <w:t xml:space="preserve">These words are </w:t>
      </w:r>
      <w:r w:rsidR="00DA4E60">
        <w:rPr>
          <w:lang w:eastAsia="zh-CN"/>
        </w:rPr>
        <w:t>dispensable though they are not in any way random. Each can claim some resilient</w:t>
      </w:r>
      <w:r w:rsidR="007E22EF">
        <w:rPr>
          <w:lang w:eastAsia="zh-CN"/>
        </w:rPr>
        <w:t>,</w:t>
      </w:r>
      <w:r w:rsidR="00DA4E60">
        <w:rPr>
          <w:lang w:eastAsia="zh-CN"/>
        </w:rPr>
        <w:t xml:space="preserve"> </w:t>
      </w:r>
      <w:r w:rsidR="007E22EF">
        <w:rPr>
          <w:lang w:eastAsia="zh-CN"/>
        </w:rPr>
        <w:t xml:space="preserve">epistemic </w:t>
      </w:r>
      <w:r w:rsidR="00DA4E60">
        <w:rPr>
          <w:lang w:eastAsia="zh-CN"/>
        </w:rPr>
        <w:t xml:space="preserve">link back to the data sets </w:t>
      </w:r>
      <w:r w:rsidR="007E22EF">
        <w:rPr>
          <w:lang w:eastAsia="zh-CN"/>
        </w:rPr>
        <w:t xml:space="preserve">which are the bedrock of </w:t>
      </w:r>
      <w:r w:rsidR="003F44FF">
        <w:rPr>
          <w:lang w:eastAsia="zh-CN"/>
        </w:rPr>
        <w:t xml:space="preserve">this new </w:t>
      </w:r>
      <w:proofErr w:type="gramStart"/>
      <w:r w:rsidR="007E22EF">
        <w:rPr>
          <w:lang w:eastAsia="zh-CN"/>
        </w:rPr>
        <w:t xml:space="preserve">scientific </w:t>
      </w:r>
      <w:r w:rsidR="00DA4E60">
        <w:rPr>
          <w:lang w:eastAsia="zh-CN"/>
        </w:rPr>
        <w:t xml:space="preserve"> knowledge</w:t>
      </w:r>
      <w:proofErr w:type="gramEnd"/>
      <w:r w:rsidR="007E22EF">
        <w:rPr>
          <w:lang w:eastAsia="zh-CN"/>
        </w:rPr>
        <w:t xml:space="preserve">. </w:t>
      </w:r>
      <w:r w:rsidR="00254A9E">
        <w:rPr>
          <w:lang w:eastAsia="zh-CN"/>
        </w:rPr>
        <w:t>They</w:t>
      </w:r>
      <w:r w:rsidR="00DA4E60">
        <w:rPr>
          <w:lang w:eastAsia="zh-CN"/>
        </w:rPr>
        <w:t xml:space="preserve"> are </w:t>
      </w:r>
      <w:r w:rsidR="007E22EF">
        <w:rPr>
          <w:lang w:eastAsia="zh-CN"/>
        </w:rPr>
        <w:t xml:space="preserve">therefore </w:t>
      </w:r>
      <w:proofErr w:type="gramStart"/>
      <w:r w:rsidR="00DA4E60">
        <w:rPr>
          <w:lang w:eastAsia="zh-CN"/>
        </w:rPr>
        <w:t>viable  ways</w:t>
      </w:r>
      <w:proofErr w:type="gramEnd"/>
      <w:r w:rsidR="00DA4E60">
        <w:rPr>
          <w:lang w:eastAsia="zh-CN"/>
        </w:rPr>
        <w:t xml:space="preserve"> of representing real, invisible structures</w:t>
      </w:r>
      <w:r w:rsidR="00254A9E">
        <w:rPr>
          <w:lang w:eastAsia="zh-CN"/>
        </w:rPr>
        <w:t xml:space="preserve"> which </w:t>
      </w:r>
      <w:r w:rsidR="00DA4E60">
        <w:rPr>
          <w:lang w:eastAsia="zh-CN"/>
        </w:rPr>
        <w:t xml:space="preserve">belong to </w:t>
      </w:r>
      <w:r w:rsidR="007E22EF">
        <w:rPr>
          <w:lang w:eastAsia="zh-CN"/>
        </w:rPr>
        <w:t xml:space="preserve">our human embodiment, to </w:t>
      </w:r>
      <w:r w:rsidR="00DA4E60">
        <w:rPr>
          <w:lang w:eastAsia="zh-CN"/>
        </w:rPr>
        <w:t>the humanity we share, Ch</w:t>
      </w:r>
      <w:r w:rsidR="00B57192">
        <w:rPr>
          <w:lang w:eastAsia="zh-CN"/>
        </w:rPr>
        <w:t xml:space="preserve">inese and Westerner alike. They point to </w:t>
      </w:r>
      <w:r w:rsidR="00E158FC">
        <w:rPr>
          <w:lang w:eastAsia="zh-CN"/>
        </w:rPr>
        <w:t xml:space="preserve">the </w:t>
      </w:r>
      <w:r w:rsidR="00DA4E60">
        <w:rPr>
          <w:lang w:eastAsia="zh-CN"/>
        </w:rPr>
        <w:t xml:space="preserve">primary evolutionary structures which </w:t>
      </w:r>
      <w:r w:rsidR="008E358A">
        <w:rPr>
          <w:lang w:eastAsia="zh-CN"/>
        </w:rPr>
        <w:t xml:space="preserve">have </w:t>
      </w:r>
      <w:r w:rsidR="00DA4E60">
        <w:rPr>
          <w:lang w:eastAsia="zh-CN"/>
        </w:rPr>
        <w:t>shape</w:t>
      </w:r>
      <w:r w:rsidR="008E358A">
        <w:rPr>
          <w:lang w:eastAsia="zh-CN"/>
        </w:rPr>
        <w:t>d</w:t>
      </w:r>
      <w:r w:rsidR="00DA4E60">
        <w:rPr>
          <w:lang w:eastAsia="zh-CN"/>
        </w:rPr>
        <w:t xml:space="preserve"> </w:t>
      </w:r>
      <w:r w:rsidR="008E358A">
        <w:rPr>
          <w:lang w:eastAsia="zh-CN"/>
        </w:rPr>
        <w:t xml:space="preserve">and continue to shape </w:t>
      </w:r>
      <w:r w:rsidR="007D628B">
        <w:rPr>
          <w:lang w:eastAsia="zh-CN"/>
        </w:rPr>
        <w:t xml:space="preserve">the fashioning of </w:t>
      </w:r>
      <w:r w:rsidR="003F44FF">
        <w:rPr>
          <w:lang w:eastAsia="zh-CN"/>
        </w:rPr>
        <w:t xml:space="preserve">our </w:t>
      </w:r>
      <w:r w:rsidR="007D628B">
        <w:rPr>
          <w:lang w:eastAsia="zh-CN"/>
        </w:rPr>
        <w:t xml:space="preserve">human </w:t>
      </w:r>
      <w:r w:rsidR="00DA4E60">
        <w:rPr>
          <w:lang w:eastAsia="zh-CN"/>
        </w:rPr>
        <w:t>cul</w:t>
      </w:r>
      <w:r w:rsidR="00F828F1">
        <w:rPr>
          <w:lang w:eastAsia="zh-CN"/>
        </w:rPr>
        <w:t>ture</w:t>
      </w:r>
      <w:r w:rsidR="007D628B">
        <w:rPr>
          <w:lang w:eastAsia="zh-CN"/>
        </w:rPr>
        <w:t>s</w:t>
      </w:r>
      <w:r w:rsidR="00F828F1">
        <w:rPr>
          <w:lang w:eastAsia="zh-CN"/>
        </w:rPr>
        <w:t xml:space="preserve">. </w:t>
      </w:r>
    </w:p>
    <w:p w14:paraId="788A75A7" w14:textId="691FDEF5" w:rsidR="007D628B" w:rsidRPr="00DB0756" w:rsidRDefault="007D628B" w:rsidP="00CB698A">
      <w:pPr>
        <w:rPr>
          <w:lang w:eastAsia="zh-CN"/>
        </w:rPr>
      </w:pPr>
      <w:r>
        <w:rPr>
          <w:lang w:eastAsia="zh-CN"/>
        </w:rPr>
        <w:tab/>
        <w:t xml:space="preserve">The challenge </w:t>
      </w:r>
      <w:r w:rsidR="00581F9D">
        <w:rPr>
          <w:lang w:eastAsia="zh-CN"/>
        </w:rPr>
        <w:t xml:space="preserve">for the neurologist, evolutionary anthropologist and philosopher alike </w:t>
      </w:r>
      <w:r>
        <w:rPr>
          <w:lang w:eastAsia="zh-CN"/>
        </w:rPr>
        <w:t>is to find a language i</w:t>
      </w:r>
      <w:r w:rsidR="007E22EF">
        <w:rPr>
          <w:lang w:eastAsia="zh-CN"/>
        </w:rPr>
        <w:t xml:space="preserve">n which to speak of these </w:t>
      </w:r>
      <w:proofErr w:type="gramStart"/>
      <w:r w:rsidR="007E22EF">
        <w:rPr>
          <w:lang w:eastAsia="zh-CN"/>
        </w:rPr>
        <w:t xml:space="preserve">structures </w:t>
      </w:r>
      <w:r>
        <w:rPr>
          <w:lang w:eastAsia="zh-CN"/>
        </w:rPr>
        <w:t xml:space="preserve"> as</w:t>
      </w:r>
      <w:proofErr w:type="gramEnd"/>
      <w:r>
        <w:rPr>
          <w:lang w:eastAsia="zh-CN"/>
        </w:rPr>
        <w:t xml:space="preserve"> they slowly </w:t>
      </w:r>
      <w:r w:rsidR="008E358A">
        <w:rPr>
          <w:lang w:eastAsia="zh-CN"/>
        </w:rPr>
        <w:t>come into view</w:t>
      </w:r>
      <w:r w:rsidR="00581F9D">
        <w:rPr>
          <w:lang w:eastAsia="zh-CN"/>
        </w:rPr>
        <w:t xml:space="preserve">. </w:t>
      </w:r>
      <w:r>
        <w:rPr>
          <w:lang w:eastAsia="zh-CN"/>
        </w:rPr>
        <w:t xml:space="preserve">“Niche construction” and “participative sense-making” are terms that have only recently been coined. </w:t>
      </w:r>
      <w:r w:rsidR="00254A9E">
        <w:rPr>
          <w:lang w:eastAsia="zh-CN"/>
        </w:rPr>
        <w:t xml:space="preserve">The ambiguous ontology of the ‘”in-between” has only recently come into view. </w:t>
      </w:r>
      <w:r w:rsidR="00657117">
        <w:rPr>
          <w:lang w:eastAsia="zh-CN"/>
        </w:rPr>
        <w:t xml:space="preserve">The </w:t>
      </w:r>
      <w:r w:rsidR="00581F9D" w:rsidRPr="00581F9D">
        <w:rPr>
          <w:lang w:eastAsia="zh-CN"/>
        </w:rPr>
        <w:t>ad hoc</w:t>
      </w:r>
      <w:r w:rsidR="00581F9D">
        <w:rPr>
          <w:lang w:eastAsia="zh-CN"/>
        </w:rPr>
        <w:t xml:space="preserve"> </w:t>
      </w:r>
      <w:r w:rsidR="00657117">
        <w:rPr>
          <w:lang w:eastAsia="zh-CN"/>
        </w:rPr>
        <w:t xml:space="preserve">term </w:t>
      </w:r>
      <w:r w:rsidR="007E22EF">
        <w:rPr>
          <w:lang w:eastAsia="zh-CN"/>
        </w:rPr>
        <w:t>“</w:t>
      </w:r>
      <w:r w:rsidR="00657117">
        <w:rPr>
          <w:lang w:eastAsia="zh-CN"/>
        </w:rPr>
        <w:t>social reasoning</w:t>
      </w:r>
      <w:r w:rsidR="007E22EF">
        <w:rPr>
          <w:lang w:eastAsia="zh-CN"/>
        </w:rPr>
        <w:t>”</w:t>
      </w:r>
      <w:r w:rsidR="00657117">
        <w:rPr>
          <w:lang w:eastAsia="zh-CN"/>
        </w:rPr>
        <w:t xml:space="preserve"> fails to capture the intensity of moral feeling and reasoning in combination, embedded in the senses, which is its signature. </w:t>
      </w:r>
      <w:r w:rsidR="00B57192">
        <w:rPr>
          <w:lang w:eastAsia="zh-CN"/>
        </w:rPr>
        <w:t>Furthermore, i</w:t>
      </w:r>
      <w:r w:rsidR="007308C8">
        <w:rPr>
          <w:lang w:eastAsia="zh-CN"/>
        </w:rPr>
        <w:t xml:space="preserve">f we are </w:t>
      </w:r>
      <w:r w:rsidR="00254A9E">
        <w:rPr>
          <w:lang w:eastAsia="zh-CN"/>
        </w:rPr>
        <w:t>here at the beginnings of what may well turn out to be a second scientific revolution</w:t>
      </w:r>
      <w:r w:rsidR="007E22EF">
        <w:rPr>
          <w:lang w:eastAsia="zh-CN"/>
        </w:rPr>
        <w:t xml:space="preserve">, not now of </w:t>
      </w:r>
      <w:r w:rsidR="007E22EF" w:rsidRPr="00D36FF9">
        <w:rPr>
          <w:i/>
          <w:lang w:eastAsia="zh-CN"/>
        </w:rPr>
        <w:t xml:space="preserve">homo </w:t>
      </w:r>
      <w:proofErr w:type="spellStart"/>
      <w:r w:rsidR="007E22EF" w:rsidRPr="00D36FF9">
        <w:rPr>
          <w:i/>
          <w:lang w:eastAsia="zh-CN"/>
        </w:rPr>
        <w:t>faber</w:t>
      </w:r>
      <w:proofErr w:type="spellEnd"/>
      <w:r w:rsidR="007E22EF">
        <w:rPr>
          <w:lang w:eastAsia="zh-CN"/>
        </w:rPr>
        <w:t xml:space="preserve"> but rather of </w:t>
      </w:r>
      <w:r w:rsidR="00D36FF9" w:rsidRPr="00D36FF9">
        <w:rPr>
          <w:i/>
          <w:lang w:eastAsia="zh-CN"/>
        </w:rPr>
        <w:t xml:space="preserve">homo </w:t>
      </w:r>
      <w:proofErr w:type="spellStart"/>
      <w:r w:rsidR="00D36FF9" w:rsidRPr="00D36FF9">
        <w:rPr>
          <w:i/>
          <w:lang w:eastAsia="zh-CN"/>
        </w:rPr>
        <w:t>socius</w:t>
      </w:r>
      <w:proofErr w:type="spellEnd"/>
      <w:r w:rsidR="00DB0756">
        <w:rPr>
          <w:lang w:eastAsia="zh-CN"/>
        </w:rPr>
        <w:t>, then the question of our relation to technology, in the light of this new social self-understanding, may well arise</w:t>
      </w:r>
      <w:r w:rsidR="007E22EF">
        <w:rPr>
          <w:lang w:eastAsia="zh-CN"/>
        </w:rPr>
        <w:t xml:space="preserve">. </w:t>
      </w:r>
      <w:r w:rsidR="00CC3C8C">
        <w:rPr>
          <w:lang w:eastAsia="zh-CN"/>
        </w:rPr>
        <w:t xml:space="preserve">It was Paul </w:t>
      </w:r>
      <w:proofErr w:type="spellStart"/>
      <w:r w:rsidR="00CC3C8C">
        <w:rPr>
          <w:lang w:eastAsia="zh-CN"/>
        </w:rPr>
        <w:t>Ricoeur</w:t>
      </w:r>
      <w:proofErr w:type="spellEnd"/>
      <w:r w:rsidR="00CC3C8C">
        <w:rPr>
          <w:lang w:eastAsia="zh-CN"/>
        </w:rPr>
        <w:t xml:space="preserve"> who </w:t>
      </w:r>
      <w:r w:rsidR="000A6AE4">
        <w:rPr>
          <w:lang w:eastAsia="zh-CN"/>
        </w:rPr>
        <w:t xml:space="preserve">regretted </w:t>
      </w:r>
      <w:r w:rsidR="00CC3C8C">
        <w:rPr>
          <w:lang w:eastAsia="zh-CN"/>
        </w:rPr>
        <w:t xml:space="preserve">the fact that we are so much better at critically understanding </w:t>
      </w:r>
      <w:r w:rsidR="007E22EF">
        <w:rPr>
          <w:lang w:eastAsia="zh-CN"/>
        </w:rPr>
        <w:t xml:space="preserve">material </w:t>
      </w:r>
      <w:r w:rsidR="000A6AE4">
        <w:rPr>
          <w:lang w:eastAsia="zh-CN"/>
        </w:rPr>
        <w:t xml:space="preserve">objects in the world leading to </w:t>
      </w:r>
      <w:r w:rsidR="00CC3C8C">
        <w:rPr>
          <w:lang w:eastAsia="zh-CN"/>
        </w:rPr>
        <w:t xml:space="preserve">technology than we are at critically understanding ourselves as </w:t>
      </w:r>
      <w:r w:rsidR="007E22EF">
        <w:rPr>
          <w:lang w:eastAsia="zh-CN"/>
        </w:rPr>
        <w:t xml:space="preserve">material </w:t>
      </w:r>
      <w:r w:rsidR="00CC3C8C">
        <w:rPr>
          <w:lang w:eastAsia="zh-CN"/>
        </w:rPr>
        <w:t>embodied subjects.</w:t>
      </w:r>
      <w:r w:rsidR="007E22EF">
        <w:rPr>
          <w:rStyle w:val="FootnoteReference"/>
          <w:lang w:eastAsia="zh-CN"/>
        </w:rPr>
        <w:footnoteReference w:id="21"/>
      </w:r>
      <w:r w:rsidR="00CC3C8C">
        <w:rPr>
          <w:lang w:eastAsia="zh-CN"/>
        </w:rPr>
        <w:t xml:space="preserve"> </w:t>
      </w:r>
      <w:r w:rsidR="00DB0756">
        <w:rPr>
          <w:lang w:eastAsia="zh-CN"/>
        </w:rPr>
        <w:t xml:space="preserve">What </w:t>
      </w:r>
      <w:r w:rsidR="00EB574B">
        <w:rPr>
          <w:lang w:eastAsia="zh-CN"/>
        </w:rPr>
        <w:t xml:space="preserve">might be the implications for such an enhancement of </w:t>
      </w:r>
      <w:r w:rsidR="00DB0756" w:rsidRPr="00DB0756">
        <w:rPr>
          <w:i/>
          <w:lang w:eastAsia="zh-CN"/>
        </w:rPr>
        <w:t xml:space="preserve">homo </w:t>
      </w:r>
      <w:proofErr w:type="spellStart"/>
      <w:r w:rsidR="00DB0756" w:rsidRPr="00DB0756">
        <w:rPr>
          <w:i/>
          <w:lang w:eastAsia="zh-CN"/>
        </w:rPr>
        <w:t>socius</w:t>
      </w:r>
      <w:proofErr w:type="spellEnd"/>
      <w:r w:rsidR="00DB0756">
        <w:rPr>
          <w:lang w:eastAsia="zh-CN"/>
        </w:rPr>
        <w:t xml:space="preserve"> </w:t>
      </w:r>
      <w:r w:rsidR="0083295D">
        <w:rPr>
          <w:lang w:eastAsia="zh-CN"/>
        </w:rPr>
        <w:t>with respect to our capacity to humanize technology and its uses today?</w:t>
      </w:r>
    </w:p>
    <w:p w14:paraId="419A4B44" w14:textId="6576688A" w:rsidR="009813CC" w:rsidRDefault="00CC3C8C" w:rsidP="00CB698A">
      <w:pPr>
        <w:rPr>
          <w:lang w:eastAsia="zh-CN"/>
        </w:rPr>
      </w:pPr>
      <w:r>
        <w:rPr>
          <w:lang w:eastAsia="zh-CN"/>
        </w:rPr>
        <w:tab/>
        <w:t xml:space="preserve">We cannot </w:t>
      </w:r>
      <w:r w:rsidR="007308C8">
        <w:rPr>
          <w:lang w:eastAsia="zh-CN"/>
        </w:rPr>
        <w:t xml:space="preserve">ask </w:t>
      </w:r>
      <w:r>
        <w:rPr>
          <w:lang w:eastAsia="zh-CN"/>
        </w:rPr>
        <w:t xml:space="preserve">the question of what kind of contextualisation this new science of human sociality might offer the East-West dialogue, without considering at least briefly the history of science in East and West. </w:t>
      </w:r>
      <w:r w:rsidR="00EB574B">
        <w:rPr>
          <w:lang w:eastAsia="zh-CN"/>
        </w:rPr>
        <w:t xml:space="preserve">The case in the West is a very particular one. </w:t>
      </w:r>
      <w:r w:rsidR="001D7FCA">
        <w:rPr>
          <w:lang w:eastAsia="zh-CN"/>
        </w:rPr>
        <w:t xml:space="preserve">Unlike </w:t>
      </w:r>
      <w:r w:rsidR="00681C73">
        <w:rPr>
          <w:lang w:eastAsia="zh-CN"/>
        </w:rPr>
        <w:t>Chinese history</w:t>
      </w:r>
      <w:r w:rsidR="000A6AE4">
        <w:rPr>
          <w:lang w:eastAsia="zh-CN"/>
        </w:rPr>
        <w:t xml:space="preserve">, </w:t>
      </w:r>
      <w:r w:rsidR="001D7FCA">
        <w:rPr>
          <w:lang w:eastAsia="zh-CN"/>
        </w:rPr>
        <w:t xml:space="preserve">which </w:t>
      </w:r>
      <w:r w:rsidR="00681C73">
        <w:rPr>
          <w:lang w:eastAsia="zh-CN"/>
        </w:rPr>
        <w:t xml:space="preserve">tends to be divided </w:t>
      </w:r>
      <w:r w:rsidR="001D7FCA">
        <w:rPr>
          <w:lang w:eastAsia="zh-CN"/>
        </w:rPr>
        <w:t xml:space="preserve">in </w:t>
      </w:r>
      <w:r w:rsidR="009E23D9">
        <w:rPr>
          <w:lang w:eastAsia="zh-CN"/>
        </w:rPr>
        <w:t xml:space="preserve">a </w:t>
      </w:r>
      <w:r w:rsidR="001D7FCA">
        <w:rPr>
          <w:lang w:eastAsia="zh-CN"/>
        </w:rPr>
        <w:t xml:space="preserve">seamless linearity </w:t>
      </w:r>
      <w:r w:rsidR="00681C73">
        <w:rPr>
          <w:lang w:eastAsia="zh-CN"/>
        </w:rPr>
        <w:t xml:space="preserve">along dynastic lines, </w:t>
      </w:r>
      <w:r w:rsidR="00681C73">
        <w:rPr>
          <w:lang w:eastAsia="zh-CN"/>
        </w:rPr>
        <w:lastRenderedPageBreak/>
        <w:t>Western history, with its “pre-modern”, “early modern”</w:t>
      </w:r>
      <w:r w:rsidR="001D7FCA">
        <w:rPr>
          <w:lang w:eastAsia="zh-CN"/>
        </w:rPr>
        <w:t xml:space="preserve">, </w:t>
      </w:r>
      <w:r w:rsidR="00681C73">
        <w:rPr>
          <w:lang w:eastAsia="zh-CN"/>
        </w:rPr>
        <w:t xml:space="preserve">“modern” </w:t>
      </w:r>
      <w:r w:rsidR="001D7FCA">
        <w:rPr>
          <w:lang w:eastAsia="zh-CN"/>
        </w:rPr>
        <w:t xml:space="preserve">and indeed “post-modern” </w:t>
      </w:r>
      <w:r w:rsidR="00681C73">
        <w:rPr>
          <w:lang w:eastAsia="zh-CN"/>
        </w:rPr>
        <w:t xml:space="preserve">periods </w:t>
      </w:r>
      <w:r w:rsidR="0089106F">
        <w:rPr>
          <w:lang w:eastAsia="zh-CN"/>
        </w:rPr>
        <w:t xml:space="preserve">characteristically </w:t>
      </w:r>
      <w:r w:rsidR="00A77390">
        <w:rPr>
          <w:lang w:eastAsia="zh-CN"/>
        </w:rPr>
        <w:t>look</w:t>
      </w:r>
      <w:r w:rsidR="0089106F">
        <w:rPr>
          <w:lang w:eastAsia="zh-CN"/>
        </w:rPr>
        <w:t>s</w:t>
      </w:r>
      <w:r w:rsidR="00681C73">
        <w:rPr>
          <w:lang w:eastAsia="zh-CN"/>
        </w:rPr>
        <w:t xml:space="preserve"> to the ending of the Middle Ages as the axial point </w:t>
      </w:r>
      <w:r w:rsidR="00A77390">
        <w:rPr>
          <w:lang w:eastAsia="zh-CN"/>
        </w:rPr>
        <w:t xml:space="preserve">in historical Western identity. The reason for this is </w:t>
      </w:r>
      <w:r w:rsidR="005A13BE">
        <w:rPr>
          <w:lang w:eastAsia="zh-CN"/>
        </w:rPr>
        <w:t xml:space="preserve">straightforward. </w:t>
      </w:r>
      <w:r w:rsidR="00A77390">
        <w:rPr>
          <w:lang w:eastAsia="zh-CN"/>
        </w:rPr>
        <w:t xml:space="preserve">From the early sixteenth century, around the time of the first flush of the European Reformation, the findings of </w:t>
      </w:r>
      <w:r w:rsidR="00710746">
        <w:rPr>
          <w:lang w:eastAsia="zh-CN"/>
        </w:rPr>
        <w:t xml:space="preserve">early </w:t>
      </w:r>
      <w:r w:rsidR="00A77390">
        <w:rPr>
          <w:lang w:eastAsia="zh-CN"/>
        </w:rPr>
        <w:t>natural science</w:t>
      </w:r>
      <w:r w:rsidR="005A13BE">
        <w:rPr>
          <w:lang w:eastAsia="zh-CN"/>
        </w:rPr>
        <w:t xml:space="preserve"> began to circulate among the Reformers, who were poised dramatically to change European culture, society and politics, and the European landscape. </w:t>
      </w:r>
      <w:r w:rsidR="004E082D">
        <w:rPr>
          <w:lang w:eastAsia="zh-CN"/>
        </w:rPr>
        <w:t>Specifically</w:t>
      </w:r>
      <w:r w:rsidR="002A546B">
        <w:rPr>
          <w:lang w:eastAsia="zh-CN"/>
        </w:rPr>
        <w:t>,</w:t>
      </w:r>
      <w:r w:rsidR="004E082D">
        <w:rPr>
          <w:lang w:eastAsia="zh-CN"/>
        </w:rPr>
        <w:t xml:space="preserve"> </w:t>
      </w:r>
      <w:r w:rsidR="00710746">
        <w:rPr>
          <w:lang w:eastAsia="zh-CN"/>
        </w:rPr>
        <w:t>the definition of a material object as necessarily “</w:t>
      </w:r>
      <w:r w:rsidR="009813CC">
        <w:rPr>
          <w:lang w:eastAsia="zh-CN"/>
        </w:rPr>
        <w:t>circumscribed</w:t>
      </w:r>
      <w:r w:rsidR="00C5708F">
        <w:rPr>
          <w:lang w:eastAsia="zh-CN"/>
        </w:rPr>
        <w:t>, limited and parti</w:t>
      </w:r>
      <w:r w:rsidR="0015193D">
        <w:rPr>
          <w:lang w:eastAsia="zh-CN"/>
        </w:rPr>
        <w:t xml:space="preserve">cular” </w:t>
      </w:r>
      <w:r w:rsidR="009E23D9">
        <w:rPr>
          <w:lang w:eastAsia="zh-CN"/>
        </w:rPr>
        <w:t xml:space="preserve">first </w:t>
      </w:r>
      <w:r w:rsidR="00710746">
        <w:rPr>
          <w:lang w:eastAsia="zh-CN"/>
        </w:rPr>
        <w:t xml:space="preserve">appears </w:t>
      </w:r>
      <w:r w:rsidR="005A13BE">
        <w:rPr>
          <w:lang w:eastAsia="zh-CN"/>
        </w:rPr>
        <w:t>in a polemical text written by the radical Reformer Zwingli</w:t>
      </w:r>
      <w:r w:rsidR="007B04FD">
        <w:rPr>
          <w:lang w:eastAsia="zh-CN"/>
        </w:rPr>
        <w:t xml:space="preserve"> in 1528</w:t>
      </w:r>
      <w:r w:rsidR="00710746">
        <w:rPr>
          <w:lang w:eastAsia="zh-CN"/>
        </w:rPr>
        <w:t>.</w:t>
      </w:r>
      <w:r w:rsidR="000A6AE4">
        <w:rPr>
          <w:rStyle w:val="FootnoteReference"/>
          <w:lang w:eastAsia="zh-CN"/>
        </w:rPr>
        <w:footnoteReference w:id="22"/>
      </w:r>
      <w:r w:rsidR="00710746">
        <w:rPr>
          <w:lang w:eastAsia="zh-CN"/>
        </w:rPr>
        <w:t xml:space="preserve"> Zwingli is concerned </w:t>
      </w:r>
      <w:r w:rsidR="009813CC">
        <w:rPr>
          <w:lang w:eastAsia="zh-CN"/>
        </w:rPr>
        <w:t xml:space="preserve">with the central proclamation of Christian faith that Christ rose from the dead and that his living body is real. </w:t>
      </w:r>
      <w:r w:rsidR="00365E65">
        <w:rPr>
          <w:lang w:eastAsia="zh-CN"/>
        </w:rPr>
        <w:t>For the medieval tradition it made sense to affirm</w:t>
      </w:r>
      <w:r w:rsidR="004453BD">
        <w:rPr>
          <w:lang w:eastAsia="zh-CN"/>
        </w:rPr>
        <w:t xml:space="preserve"> </w:t>
      </w:r>
      <w:r w:rsidR="000A6AE4">
        <w:rPr>
          <w:lang w:eastAsia="zh-CN"/>
        </w:rPr>
        <w:t xml:space="preserve">that </w:t>
      </w:r>
      <w:r w:rsidR="00365E65">
        <w:rPr>
          <w:lang w:eastAsia="zh-CN"/>
        </w:rPr>
        <w:t xml:space="preserve">his body, which is in heaven, is </w:t>
      </w:r>
      <w:r w:rsidR="004453BD">
        <w:rPr>
          <w:lang w:eastAsia="zh-CN"/>
        </w:rPr>
        <w:t xml:space="preserve">a </w:t>
      </w:r>
      <w:r w:rsidR="00365E65" w:rsidRPr="00365E65">
        <w:rPr>
          <w:i/>
          <w:lang w:eastAsia="zh-CN"/>
        </w:rPr>
        <w:t>glorified</w:t>
      </w:r>
      <w:r w:rsidR="004453BD">
        <w:rPr>
          <w:lang w:eastAsia="zh-CN"/>
        </w:rPr>
        <w:t xml:space="preserve"> body.</w:t>
      </w:r>
      <w:r w:rsidR="00365E65">
        <w:rPr>
          <w:lang w:eastAsia="zh-CN"/>
        </w:rPr>
        <w:t xml:space="preserve"> According to Catholic </w:t>
      </w:r>
      <w:r w:rsidR="004910FD">
        <w:rPr>
          <w:lang w:eastAsia="zh-CN"/>
        </w:rPr>
        <w:t xml:space="preserve">sacramental tradition, </w:t>
      </w:r>
      <w:r w:rsidR="00365E65">
        <w:rPr>
          <w:lang w:eastAsia="zh-CN"/>
        </w:rPr>
        <w:t xml:space="preserve">it is the glorified or heavenly state of the </w:t>
      </w:r>
      <w:r w:rsidR="002A546B">
        <w:rPr>
          <w:lang w:eastAsia="zh-CN"/>
        </w:rPr>
        <w:t xml:space="preserve">body of Jesus which allows him to be both present in the Eucharist and yet still in heaven above. </w:t>
      </w:r>
      <w:r w:rsidR="003464CE">
        <w:rPr>
          <w:lang w:eastAsia="zh-CN"/>
        </w:rPr>
        <w:t xml:space="preserve">Zwingli was adamant that if Christians are credibly to affirm that Jesus still lives, then they must cease to claim also that he is in a transformed or glorified state. Zwingli tells us that Jesus is real and sits </w:t>
      </w:r>
      <w:r w:rsidR="00142E64">
        <w:rPr>
          <w:lang w:eastAsia="zh-CN"/>
        </w:rPr>
        <w:t>beside</w:t>
      </w:r>
      <w:r w:rsidR="003B5BE7">
        <w:rPr>
          <w:lang w:eastAsia="zh-CN"/>
        </w:rPr>
        <w:t xml:space="preserve"> the Father in heaven </w:t>
      </w:r>
      <w:r w:rsidR="000A6AE4">
        <w:rPr>
          <w:lang w:eastAsia="zh-CN"/>
        </w:rPr>
        <w:t>in a “wholly untransformed”</w:t>
      </w:r>
      <w:r w:rsidR="003B5BE7">
        <w:rPr>
          <w:lang w:eastAsia="zh-CN"/>
        </w:rPr>
        <w:t xml:space="preserve"> state.</w:t>
      </w:r>
      <w:r w:rsidR="000A6AE4">
        <w:rPr>
          <w:rStyle w:val="FootnoteReference"/>
          <w:lang w:eastAsia="zh-CN"/>
        </w:rPr>
        <w:footnoteReference w:id="23"/>
      </w:r>
    </w:p>
    <w:p w14:paraId="10385DD9" w14:textId="12A83D67" w:rsidR="008A6248" w:rsidRDefault="00142E64" w:rsidP="00CB698A">
      <w:pPr>
        <w:rPr>
          <w:lang w:eastAsia="zh-CN"/>
        </w:rPr>
      </w:pPr>
      <w:r>
        <w:rPr>
          <w:lang w:eastAsia="zh-CN"/>
        </w:rPr>
        <w:tab/>
        <w:t>Zwingli fails</w:t>
      </w:r>
      <w:r w:rsidR="009E23D9">
        <w:rPr>
          <w:lang w:eastAsia="zh-CN"/>
        </w:rPr>
        <w:t xml:space="preserve"> to persuade Luther, who preferred</w:t>
      </w:r>
      <w:r>
        <w:rPr>
          <w:lang w:eastAsia="zh-CN"/>
        </w:rPr>
        <w:t xml:space="preserve"> the authority of the scriptural version, but right at the outset of the Reformation, the power of science to revise fundamental areas of Christian belief – precisely those which concern the nature of matter (the matter we </w:t>
      </w:r>
      <w:r w:rsidRPr="00142E64">
        <w:rPr>
          <w:i/>
          <w:lang w:eastAsia="zh-CN"/>
        </w:rPr>
        <w:t>are</w:t>
      </w:r>
      <w:r>
        <w:rPr>
          <w:lang w:eastAsia="zh-CN"/>
        </w:rPr>
        <w:t xml:space="preserve"> as </w:t>
      </w:r>
      <w:r w:rsidR="00315F8C">
        <w:rPr>
          <w:lang w:eastAsia="zh-CN"/>
        </w:rPr>
        <w:t xml:space="preserve">embodied </w:t>
      </w:r>
      <w:r>
        <w:rPr>
          <w:lang w:eastAsia="zh-CN"/>
        </w:rPr>
        <w:t>human beings) –  becomes apparent. The widespread conclusion among the Reformers over time was that science should not be resisted but rather “accommodated”</w:t>
      </w:r>
      <w:r w:rsidR="006E7703">
        <w:rPr>
          <w:lang w:eastAsia="zh-CN"/>
        </w:rPr>
        <w:t>. This meant firstly th</w:t>
      </w:r>
      <w:r w:rsidR="004D78E4">
        <w:rPr>
          <w:lang w:eastAsia="zh-CN"/>
        </w:rPr>
        <w:t xml:space="preserve">at there was a </w:t>
      </w:r>
      <w:r w:rsidR="006E7703">
        <w:rPr>
          <w:lang w:eastAsia="zh-CN"/>
        </w:rPr>
        <w:t>turn to the human subject of faith (and away from Jesus as object)</w:t>
      </w:r>
      <w:r>
        <w:rPr>
          <w:lang w:eastAsia="zh-CN"/>
        </w:rPr>
        <w:t xml:space="preserve">, </w:t>
      </w:r>
      <w:r w:rsidR="006E7703">
        <w:rPr>
          <w:lang w:eastAsia="zh-CN"/>
        </w:rPr>
        <w:t xml:space="preserve">and then later to </w:t>
      </w:r>
      <w:r w:rsidR="004D78E4">
        <w:rPr>
          <w:lang w:eastAsia="zh-CN"/>
        </w:rPr>
        <w:t xml:space="preserve">language and </w:t>
      </w:r>
      <w:r w:rsidR="006E7703">
        <w:rPr>
          <w:lang w:eastAsia="zh-CN"/>
        </w:rPr>
        <w:t xml:space="preserve">the Bible as the narration of faith. </w:t>
      </w:r>
      <w:r w:rsidR="00D53893">
        <w:rPr>
          <w:lang w:eastAsia="zh-CN"/>
        </w:rPr>
        <w:t xml:space="preserve">In modern Europe, the </w:t>
      </w:r>
      <w:r w:rsidR="008A6248">
        <w:rPr>
          <w:lang w:eastAsia="zh-CN"/>
        </w:rPr>
        <w:t>pictures of Christ in glory</w:t>
      </w:r>
      <w:r w:rsidR="000A6AE4">
        <w:rPr>
          <w:lang w:eastAsia="zh-CN"/>
        </w:rPr>
        <w:t>,</w:t>
      </w:r>
      <w:r w:rsidR="008A6248">
        <w:rPr>
          <w:lang w:eastAsia="zh-CN"/>
        </w:rPr>
        <w:t xml:space="preserve"> which dominate many if not </w:t>
      </w:r>
      <w:r w:rsidR="000A6AE4">
        <w:rPr>
          <w:lang w:eastAsia="zh-CN"/>
        </w:rPr>
        <w:t xml:space="preserve">the majority of the surviving </w:t>
      </w:r>
      <w:r w:rsidR="008A6248">
        <w:rPr>
          <w:lang w:eastAsia="zh-CN"/>
        </w:rPr>
        <w:t>pre-modern Churches</w:t>
      </w:r>
      <w:r w:rsidR="000A6AE4">
        <w:rPr>
          <w:lang w:eastAsia="zh-CN"/>
        </w:rPr>
        <w:t>,</w:t>
      </w:r>
      <w:r w:rsidR="008A6248">
        <w:rPr>
          <w:lang w:eastAsia="zh-CN"/>
        </w:rPr>
        <w:t xml:space="preserve"> became illegible.</w:t>
      </w:r>
    </w:p>
    <w:p w14:paraId="169D5DE1" w14:textId="08EEE143" w:rsidR="00535C74" w:rsidRDefault="008A6248" w:rsidP="00243799">
      <w:pPr>
        <w:rPr>
          <w:lang w:eastAsia="zh-CN"/>
        </w:rPr>
      </w:pPr>
      <w:r>
        <w:rPr>
          <w:lang w:eastAsia="zh-CN"/>
        </w:rPr>
        <w:tab/>
        <w:t xml:space="preserve">But the </w:t>
      </w:r>
      <w:r w:rsidR="006E7703">
        <w:rPr>
          <w:lang w:eastAsia="zh-CN"/>
        </w:rPr>
        <w:t>immense</w:t>
      </w:r>
      <w:r w:rsidR="007D6A0E">
        <w:rPr>
          <w:lang w:eastAsia="zh-CN"/>
        </w:rPr>
        <w:t xml:space="preserve">, existential </w:t>
      </w:r>
      <w:r w:rsidR="006E7703">
        <w:rPr>
          <w:lang w:eastAsia="zh-CN"/>
        </w:rPr>
        <w:t xml:space="preserve">impact </w:t>
      </w:r>
      <w:r w:rsidR="007D6A0E">
        <w:rPr>
          <w:lang w:eastAsia="zh-CN"/>
        </w:rPr>
        <w:t xml:space="preserve">of the new definition of matter on </w:t>
      </w:r>
      <w:r w:rsidR="006E7703">
        <w:rPr>
          <w:lang w:eastAsia="zh-CN"/>
        </w:rPr>
        <w:t xml:space="preserve">the </w:t>
      </w:r>
      <w:r w:rsidR="007D6A0E">
        <w:rPr>
          <w:lang w:eastAsia="zh-CN"/>
        </w:rPr>
        <w:t xml:space="preserve">West </w:t>
      </w:r>
      <w:r w:rsidR="00C374E4">
        <w:rPr>
          <w:lang w:eastAsia="zh-CN"/>
        </w:rPr>
        <w:t xml:space="preserve">specifically </w:t>
      </w:r>
      <w:r w:rsidR="007D6A0E">
        <w:rPr>
          <w:lang w:eastAsia="zh-CN"/>
        </w:rPr>
        <w:t xml:space="preserve">as a </w:t>
      </w:r>
      <w:r w:rsidR="006E7703">
        <w:rPr>
          <w:lang w:eastAsia="zh-CN"/>
        </w:rPr>
        <w:t xml:space="preserve">Christian </w:t>
      </w:r>
      <w:r w:rsidR="007D6A0E">
        <w:rPr>
          <w:lang w:eastAsia="zh-CN"/>
        </w:rPr>
        <w:t>civilisation</w:t>
      </w:r>
      <w:r w:rsidR="004D78E4">
        <w:rPr>
          <w:lang w:eastAsia="zh-CN"/>
        </w:rPr>
        <w:t>,</w:t>
      </w:r>
      <w:r w:rsidR="007D6A0E">
        <w:rPr>
          <w:lang w:eastAsia="zh-CN"/>
        </w:rPr>
        <w:t xml:space="preserve"> </w:t>
      </w:r>
      <w:r w:rsidR="004D78E4">
        <w:rPr>
          <w:lang w:eastAsia="zh-CN"/>
        </w:rPr>
        <w:t xml:space="preserve">also </w:t>
      </w:r>
      <w:r w:rsidR="007D6A0E">
        <w:rPr>
          <w:lang w:eastAsia="zh-CN"/>
        </w:rPr>
        <w:t xml:space="preserve">led </w:t>
      </w:r>
      <w:r w:rsidR="00C374E4">
        <w:rPr>
          <w:lang w:eastAsia="zh-CN"/>
        </w:rPr>
        <w:t xml:space="preserve">over time </w:t>
      </w:r>
      <w:r w:rsidR="007D6A0E">
        <w:rPr>
          <w:lang w:eastAsia="zh-CN"/>
        </w:rPr>
        <w:t>to a broad</w:t>
      </w:r>
      <w:r w:rsidR="00C374E4">
        <w:rPr>
          <w:lang w:eastAsia="zh-CN"/>
        </w:rPr>
        <w:t>er</w:t>
      </w:r>
      <w:r w:rsidR="007D6A0E">
        <w:rPr>
          <w:lang w:eastAsia="zh-CN"/>
        </w:rPr>
        <w:t xml:space="preserve"> and deep</w:t>
      </w:r>
      <w:r w:rsidR="00C374E4">
        <w:rPr>
          <w:lang w:eastAsia="zh-CN"/>
        </w:rPr>
        <w:t>er</w:t>
      </w:r>
      <w:r w:rsidR="007D6A0E">
        <w:rPr>
          <w:lang w:eastAsia="zh-CN"/>
        </w:rPr>
        <w:t xml:space="preserve"> concern with understanding the consequences of</w:t>
      </w:r>
      <w:r w:rsidR="00C374E4">
        <w:rPr>
          <w:lang w:eastAsia="zh-CN"/>
        </w:rPr>
        <w:t xml:space="preserve"> the rise of scientific reason. </w:t>
      </w:r>
      <w:r w:rsidR="007D6A0E">
        <w:rPr>
          <w:lang w:eastAsia="zh-CN"/>
        </w:rPr>
        <w:t xml:space="preserve">It led to a far reaching “accommodation” </w:t>
      </w:r>
      <w:r w:rsidR="00C374E4">
        <w:rPr>
          <w:lang w:eastAsia="zh-CN"/>
        </w:rPr>
        <w:t xml:space="preserve">of science </w:t>
      </w:r>
      <w:r w:rsidR="00526372">
        <w:rPr>
          <w:lang w:eastAsia="zh-CN"/>
        </w:rPr>
        <w:t xml:space="preserve">but also an equally strong reaction against science, </w:t>
      </w:r>
      <w:r w:rsidR="00C374E4">
        <w:rPr>
          <w:lang w:eastAsia="zh-CN"/>
        </w:rPr>
        <w:t>as society divided into sceptics, empiricists</w:t>
      </w:r>
      <w:r w:rsidR="00364D2E">
        <w:rPr>
          <w:lang w:eastAsia="zh-CN"/>
        </w:rPr>
        <w:t>, Idealists</w:t>
      </w:r>
      <w:r w:rsidR="00C374E4">
        <w:rPr>
          <w:lang w:eastAsia="zh-CN"/>
        </w:rPr>
        <w:t xml:space="preserve"> and Romantics. </w:t>
      </w:r>
      <w:r w:rsidR="00526372">
        <w:rPr>
          <w:lang w:eastAsia="zh-CN"/>
        </w:rPr>
        <w:t xml:space="preserve">But two things are clear. </w:t>
      </w:r>
      <w:proofErr w:type="gramStart"/>
      <w:r w:rsidR="0069264D">
        <w:rPr>
          <w:lang w:eastAsia="zh-CN"/>
        </w:rPr>
        <w:t xml:space="preserve">Firstly, </w:t>
      </w:r>
      <w:r w:rsidR="00526372">
        <w:rPr>
          <w:lang w:eastAsia="zh-CN"/>
        </w:rPr>
        <w:t xml:space="preserve"> </w:t>
      </w:r>
      <w:r w:rsidR="0069264D">
        <w:rPr>
          <w:lang w:eastAsia="zh-CN"/>
        </w:rPr>
        <w:t>t</w:t>
      </w:r>
      <w:r w:rsidR="00C374E4">
        <w:rPr>
          <w:lang w:eastAsia="zh-CN"/>
        </w:rPr>
        <w:t>he</w:t>
      </w:r>
      <w:proofErr w:type="gramEnd"/>
      <w:r w:rsidR="00C374E4">
        <w:rPr>
          <w:lang w:eastAsia="zh-CN"/>
        </w:rPr>
        <w:t xml:space="preserve"> rapid rise of technology and its associated industrialization </w:t>
      </w:r>
      <w:r w:rsidR="00364D2E">
        <w:rPr>
          <w:lang w:eastAsia="zh-CN"/>
        </w:rPr>
        <w:t xml:space="preserve">placed </w:t>
      </w:r>
      <w:r w:rsidR="00364D2E" w:rsidRPr="00364D2E">
        <w:rPr>
          <w:i/>
          <w:lang w:eastAsia="zh-CN"/>
        </w:rPr>
        <w:t xml:space="preserve">homo </w:t>
      </w:r>
      <w:proofErr w:type="spellStart"/>
      <w:r w:rsidR="00364D2E" w:rsidRPr="00364D2E">
        <w:rPr>
          <w:i/>
          <w:lang w:eastAsia="zh-CN"/>
        </w:rPr>
        <w:t>faber</w:t>
      </w:r>
      <w:proofErr w:type="spellEnd"/>
      <w:r w:rsidR="00364D2E">
        <w:rPr>
          <w:lang w:eastAsia="zh-CN"/>
        </w:rPr>
        <w:t xml:space="preserve"> at the centre of </w:t>
      </w:r>
      <w:r w:rsidR="009870F4">
        <w:rPr>
          <w:lang w:eastAsia="zh-CN"/>
        </w:rPr>
        <w:t xml:space="preserve">modern </w:t>
      </w:r>
      <w:r w:rsidR="00364D2E">
        <w:rPr>
          <w:lang w:eastAsia="zh-CN"/>
        </w:rPr>
        <w:t>society and at t</w:t>
      </w:r>
      <w:r w:rsidR="00C262B2">
        <w:rPr>
          <w:lang w:eastAsia="zh-CN"/>
        </w:rPr>
        <w:t xml:space="preserve">he </w:t>
      </w:r>
      <w:r w:rsidR="00D829A6">
        <w:rPr>
          <w:lang w:eastAsia="zh-CN"/>
        </w:rPr>
        <w:t xml:space="preserve">heart </w:t>
      </w:r>
      <w:r w:rsidR="00C262B2">
        <w:rPr>
          <w:lang w:eastAsia="zh-CN"/>
        </w:rPr>
        <w:t xml:space="preserve">of our increasingly global Western </w:t>
      </w:r>
      <w:r w:rsidR="00364D2E">
        <w:rPr>
          <w:lang w:eastAsia="zh-CN"/>
        </w:rPr>
        <w:t>identity.</w:t>
      </w:r>
      <w:r w:rsidR="00AD087B">
        <w:rPr>
          <w:lang w:eastAsia="zh-CN"/>
        </w:rPr>
        <w:t xml:space="preserve"> </w:t>
      </w:r>
      <w:r w:rsidR="009870F4">
        <w:rPr>
          <w:lang w:eastAsia="zh-CN"/>
        </w:rPr>
        <w:t xml:space="preserve">But if </w:t>
      </w:r>
      <w:r w:rsidR="0069264D">
        <w:rPr>
          <w:lang w:eastAsia="zh-CN"/>
        </w:rPr>
        <w:t xml:space="preserve">contemporary </w:t>
      </w:r>
      <w:r w:rsidR="00AD087B">
        <w:rPr>
          <w:lang w:eastAsia="zh-CN"/>
        </w:rPr>
        <w:t xml:space="preserve">evolutionary science tells us </w:t>
      </w:r>
      <w:r w:rsidR="009870F4">
        <w:rPr>
          <w:lang w:eastAsia="zh-CN"/>
        </w:rPr>
        <w:t xml:space="preserve">today </w:t>
      </w:r>
      <w:r w:rsidR="00AD087B">
        <w:rPr>
          <w:lang w:eastAsia="zh-CN"/>
        </w:rPr>
        <w:t xml:space="preserve">that we are both </w:t>
      </w:r>
      <w:r w:rsidR="00AD087B" w:rsidRPr="00AD087B">
        <w:rPr>
          <w:i/>
          <w:lang w:eastAsia="zh-CN"/>
        </w:rPr>
        <w:t xml:space="preserve">homo </w:t>
      </w:r>
      <w:proofErr w:type="spellStart"/>
      <w:r w:rsidR="00AD087B" w:rsidRPr="00AD087B">
        <w:rPr>
          <w:i/>
          <w:lang w:eastAsia="zh-CN"/>
        </w:rPr>
        <w:t>socius</w:t>
      </w:r>
      <w:proofErr w:type="spellEnd"/>
      <w:r w:rsidR="00AD087B">
        <w:rPr>
          <w:lang w:eastAsia="zh-CN"/>
        </w:rPr>
        <w:t xml:space="preserve"> and </w:t>
      </w:r>
      <w:r w:rsidR="00AD087B" w:rsidRPr="00AD087B">
        <w:rPr>
          <w:i/>
          <w:lang w:eastAsia="zh-CN"/>
        </w:rPr>
        <w:t xml:space="preserve">homo </w:t>
      </w:r>
      <w:proofErr w:type="spellStart"/>
      <w:r w:rsidR="00AD087B" w:rsidRPr="00AD087B">
        <w:rPr>
          <w:i/>
          <w:lang w:eastAsia="zh-CN"/>
        </w:rPr>
        <w:t>faber</w:t>
      </w:r>
      <w:proofErr w:type="spellEnd"/>
      <w:r w:rsidR="00AD087B">
        <w:rPr>
          <w:lang w:eastAsia="zh-CN"/>
        </w:rPr>
        <w:t xml:space="preserve">, </w:t>
      </w:r>
      <w:r w:rsidR="004E1464">
        <w:rPr>
          <w:lang w:eastAsia="zh-CN"/>
        </w:rPr>
        <w:t xml:space="preserve">then our Western Enlightenment philosophies and our </w:t>
      </w:r>
      <w:r w:rsidR="00C37271">
        <w:rPr>
          <w:lang w:eastAsia="zh-CN"/>
        </w:rPr>
        <w:t xml:space="preserve">experience of </w:t>
      </w:r>
      <w:r w:rsidR="004E1464">
        <w:rPr>
          <w:lang w:eastAsia="zh-CN"/>
        </w:rPr>
        <w:t xml:space="preserve">rapid industrialization </w:t>
      </w:r>
      <w:r w:rsidR="0069264D">
        <w:rPr>
          <w:lang w:eastAsia="zh-CN"/>
        </w:rPr>
        <w:t xml:space="preserve">in fact </w:t>
      </w:r>
      <w:r w:rsidR="004E1464">
        <w:rPr>
          <w:lang w:eastAsia="zh-CN"/>
        </w:rPr>
        <w:t xml:space="preserve">led to a pronounced cultural enhancement of </w:t>
      </w:r>
      <w:r w:rsidR="004E1464" w:rsidRPr="004E1464">
        <w:rPr>
          <w:i/>
          <w:lang w:eastAsia="zh-CN"/>
        </w:rPr>
        <w:t xml:space="preserve">homo </w:t>
      </w:r>
      <w:proofErr w:type="spellStart"/>
      <w:r w:rsidR="004E1464" w:rsidRPr="004E1464">
        <w:rPr>
          <w:i/>
          <w:lang w:eastAsia="zh-CN"/>
        </w:rPr>
        <w:t>faber</w:t>
      </w:r>
      <w:proofErr w:type="spellEnd"/>
      <w:r w:rsidR="0069264D">
        <w:rPr>
          <w:lang w:eastAsia="zh-CN"/>
        </w:rPr>
        <w:t xml:space="preserve">. And this had a </w:t>
      </w:r>
      <w:r w:rsidR="001C6C93">
        <w:rPr>
          <w:lang w:eastAsia="zh-CN"/>
        </w:rPr>
        <w:t xml:space="preserve">further consequence. Inevitably, </w:t>
      </w:r>
      <w:r w:rsidR="00E13D3A">
        <w:rPr>
          <w:lang w:eastAsia="zh-CN"/>
        </w:rPr>
        <w:t xml:space="preserve">people </w:t>
      </w:r>
      <w:r w:rsidR="00C37271">
        <w:rPr>
          <w:lang w:eastAsia="zh-CN"/>
        </w:rPr>
        <w:t xml:space="preserve">came to think that </w:t>
      </w:r>
      <w:r w:rsidR="00C37271" w:rsidRPr="00C37271">
        <w:rPr>
          <w:i/>
          <w:lang w:eastAsia="zh-CN"/>
        </w:rPr>
        <w:t xml:space="preserve">homo </w:t>
      </w:r>
      <w:proofErr w:type="spellStart"/>
      <w:r w:rsidR="00C37271" w:rsidRPr="00C37271">
        <w:rPr>
          <w:i/>
          <w:lang w:eastAsia="zh-CN"/>
        </w:rPr>
        <w:t>faber</w:t>
      </w:r>
      <w:proofErr w:type="spellEnd"/>
      <w:r w:rsidR="00C37271">
        <w:rPr>
          <w:lang w:eastAsia="zh-CN"/>
        </w:rPr>
        <w:t xml:space="preserve"> defines</w:t>
      </w:r>
      <w:r w:rsidR="00E13D3A">
        <w:rPr>
          <w:lang w:eastAsia="zh-CN"/>
        </w:rPr>
        <w:t xml:space="preserve"> </w:t>
      </w:r>
      <w:r w:rsidR="00C37271">
        <w:rPr>
          <w:lang w:eastAsia="zh-CN"/>
        </w:rPr>
        <w:t xml:space="preserve">us as human beings to the exclusion (or relative exclusion) of </w:t>
      </w:r>
      <w:r w:rsidR="00C37271" w:rsidRPr="00C37271">
        <w:rPr>
          <w:i/>
          <w:lang w:eastAsia="zh-CN"/>
        </w:rPr>
        <w:t xml:space="preserve">homo </w:t>
      </w:r>
      <w:proofErr w:type="spellStart"/>
      <w:r w:rsidR="00C37271" w:rsidRPr="00C37271">
        <w:rPr>
          <w:i/>
          <w:lang w:eastAsia="zh-CN"/>
        </w:rPr>
        <w:t>socius</w:t>
      </w:r>
      <w:proofErr w:type="spellEnd"/>
      <w:r w:rsidR="00C37271">
        <w:rPr>
          <w:lang w:eastAsia="zh-CN"/>
        </w:rPr>
        <w:t xml:space="preserve">. Rather than understanding that science was not yet capable of laying bare </w:t>
      </w:r>
      <w:r w:rsidR="00590747">
        <w:rPr>
          <w:lang w:eastAsia="zh-CN"/>
        </w:rPr>
        <w:t xml:space="preserve">our </w:t>
      </w:r>
      <w:r w:rsidR="00C37271">
        <w:rPr>
          <w:lang w:eastAsia="zh-CN"/>
        </w:rPr>
        <w:t xml:space="preserve">extreme </w:t>
      </w:r>
      <w:r w:rsidR="00D829A6">
        <w:rPr>
          <w:lang w:eastAsia="zh-CN"/>
        </w:rPr>
        <w:t xml:space="preserve">social </w:t>
      </w:r>
      <w:r w:rsidR="00C37271">
        <w:rPr>
          <w:lang w:eastAsia="zh-CN"/>
        </w:rPr>
        <w:t>complexit</w:t>
      </w:r>
      <w:r w:rsidR="00590747">
        <w:rPr>
          <w:lang w:eastAsia="zh-CN"/>
        </w:rPr>
        <w:t>y</w:t>
      </w:r>
      <w:r w:rsidR="00C37271">
        <w:rPr>
          <w:lang w:eastAsia="zh-CN"/>
        </w:rPr>
        <w:t xml:space="preserve">, </w:t>
      </w:r>
      <w:r w:rsidR="00E13D3A">
        <w:rPr>
          <w:lang w:eastAsia="zh-CN"/>
        </w:rPr>
        <w:t xml:space="preserve">we </w:t>
      </w:r>
      <w:r w:rsidR="00FD0CE9">
        <w:rPr>
          <w:lang w:eastAsia="zh-CN"/>
        </w:rPr>
        <w:t xml:space="preserve">have allowed ourselves in the </w:t>
      </w:r>
      <w:proofErr w:type="gramStart"/>
      <w:r w:rsidR="00FD0CE9">
        <w:rPr>
          <w:lang w:eastAsia="zh-CN"/>
        </w:rPr>
        <w:t>West</w:t>
      </w:r>
      <w:r w:rsidR="009870F4">
        <w:rPr>
          <w:lang w:eastAsia="zh-CN"/>
        </w:rPr>
        <w:t xml:space="preserve"> </w:t>
      </w:r>
      <w:r w:rsidR="00FD0CE9">
        <w:rPr>
          <w:lang w:eastAsia="zh-CN"/>
        </w:rPr>
        <w:t xml:space="preserve"> to</w:t>
      </w:r>
      <w:proofErr w:type="gramEnd"/>
      <w:r w:rsidR="00FD0CE9">
        <w:rPr>
          <w:lang w:eastAsia="zh-CN"/>
        </w:rPr>
        <w:t xml:space="preserve"> mistakenly allow</w:t>
      </w:r>
      <w:r w:rsidR="00E13D3A">
        <w:rPr>
          <w:lang w:eastAsia="zh-CN"/>
        </w:rPr>
        <w:t xml:space="preserve"> ourselv</w:t>
      </w:r>
      <w:r w:rsidR="00590747">
        <w:rPr>
          <w:lang w:eastAsia="zh-CN"/>
        </w:rPr>
        <w:t xml:space="preserve">es to be defined </w:t>
      </w:r>
      <w:r w:rsidR="00E13D3A">
        <w:rPr>
          <w:lang w:eastAsia="zh-CN"/>
        </w:rPr>
        <w:t xml:space="preserve">as </w:t>
      </w:r>
      <w:r w:rsidR="00E13D3A" w:rsidRPr="00E13D3A">
        <w:rPr>
          <w:i/>
          <w:lang w:eastAsia="zh-CN"/>
        </w:rPr>
        <w:t xml:space="preserve">homo </w:t>
      </w:r>
      <w:proofErr w:type="spellStart"/>
      <w:r w:rsidR="00E13D3A" w:rsidRPr="00E13D3A">
        <w:rPr>
          <w:i/>
          <w:lang w:eastAsia="zh-CN"/>
        </w:rPr>
        <w:t>faber</w:t>
      </w:r>
      <w:proofErr w:type="spellEnd"/>
      <w:r w:rsidR="00E13D3A">
        <w:rPr>
          <w:lang w:eastAsia="zh-CN"/>
        </w:rPr>
        <w:t>.</w:t>
      </w:r>
      <w:r w:rsidR="00590747">
        <w:rPr>
          <w:lang w:eastAsia="zh-CN"/>
        </w:rPr>
        <w:t xml:space="preserve"> </w:t>
      </w:r>
      <w:r w:rsidR="001C6C93">
        <w:rPr>
          <w:lang w:eastAsia="zh-CN"/>
        </w:rPr>
        <w:t xml:space="preserve">Of course, since </w:t>
      </w:r>
      <w:r w:rsidR="00FD0CE9">
        <w:rPr>
          <w:lang w:eastAsia="zh-CN"/>
        </w:rPr>
        <w:t xml:space="preserve">in reality </w:t>
      </w:r>
      <w:r w:rsidR="00590747">
        <w:rPr>
          <w:lang w:eastAsia="zh-CN"/>
        </w:rPr>
        <w:t xml:space="preserve">the human body has evolved to be fundamentally social, </w:t>
      </w:r>
      <w:r w:rsidR="00226B04">
        <w:rPr>
          <w:lang w:eastAsia="zh-CN"/>
        </w:rPr>
        <w:t xml:space="preserve">we did not cease to be </w:t>
      </w:r>
      <w:r w:rsidR="009870F4">
        <w:rPr>
          <w:lang w:eastAsia="zh-CN"/>
        </w:rPr>
        <w:t>deeply social in practice – among family and friends –</w:t>
      </w:r>
      <w:r w:rsidR="001C6C93">
        <w:rPr>
          <w:lang w:eastAsia="zh-CN"/>
        </w:rPr>
        <w:t xml:space="preserve">even </w:t>
      </w:r>
      <w:r w:rsidR="00226B04">
        <w:rPr>
          <w:lang w:eastAsia="zh-CN"/>
        </w:rPr>
        <w:t xml:space="preserve">as we allowed ourselves to be </w:t>
      </w:r>
      <w:r w:rsidR="009870F4">
        <w:rPr>
          <w:lang w:eastAsia="zh-CN"/>
        </w:rPr>
        <w:t xml:space="preserve">extensively </w:t>
      </w:r>
      <w:r w:rsidR="00226B04">
        <w:rPr>
          <w:lang w:eastAsia="zh-CN"/>
        </w:rPr>
        <w:t xml:space="preserve">defined by the technologies </w:t>
      </w:r>
      <w:r w:rsidR="001C6C93">
        <w:rPr>
          <w:lang w:eastAsia="zh-CN"/>
        </w:rPr>
        <w:t xml:space="preserve">we </w:t>
      </w:r>
      <w:r w:rsidR="001C6C93">
        <w:rPr>
          <w:lang w:eastAsia="zh-CN"/>
        </w:rPr>
        <w:lastRenderedPageBreak/>
        <w:t xml:space="preserve">produce and use. But the imposition through a </w:t>
      </w:r>
      <w:proofErr w:type="spellStart"/>
      <w:r w:rsidR="001C6C93">
        <w:rPr>
          <w:lang w:eastAsia="zh-CN"/>
        </w:rPr>
        <w:t>scientistic</w:t>
      </w:r>
      <w:proofErr w:type="spellEnd"/>
      <w:r w:rsidR="001C6C93">
        <w:rPr>
          <w:lang w:eastAsia="zh-CN"/>
        </w:rPr>
        <w:t xml:space="preserve"> culture of this </w:t>
      </w:r>
      <w:r w:rsidR="002932E5">
        <w:rPr>
          <w:lang w:eastAsia="zh-CN"/>
        </w:rPr>
        <w:t xml:space="preserve">separation or alienation led to the </w:t>
      </w:r>
      <w:r w:rsidR="00226B04">
        <w:rPr>
          <w:lang w:eastAsia="zh-CN"/>
        </w:rPr>
        <w:t xml:space="preserve">loss of the possibility of a </w:t>
      </w:r>
      <w:r w:rsidR="00E62949">
        <w:rPr>
          <w:lang w:eastAsia="zh-CN"/>
        </w:rPr>
        <w:t xml:space="preserve">properly </w:t>
      </w:r>
      <w:r w:rsidR="00226B04">
        <w:rPr>
          <w:lang w:eastAsia="zh-CN"/>
        </w:rPr>
        <w:t xml:space="preserve">integrated </w:t>
      </w:r>
      <w:r w:rsidR="00FB1CED">
        <w:rPr>
          <w:lang w:eastAsia="zh-CN"/>
        </w:rPr>
        <w:t xml:space="preserve">narrative </w:t>
      </w:r>
      <w:r w:rsidR="00226B04">
        <w:rPr>
          <w:lang w:eastAsia="zh-CN"/>
        </w:rPr>
        <w:t xml:space="preserve">of the human. </w:t>
      </w:r>
      <w:r w:rsidR="001C6C93">
        <w:rPr>
          <w:lang w:eastAsia="zh-CN"/>
        </w:rPr>
        <w:t xml:space="preserve">The lack of such a narrative may well have contributed to the </w:t>
      </w:r>
      <w:r w:rsidR="009870F4">
        <w:rPr>
          <w:lang w:eastAsia="zh-CN"/>
        </w:rPr>
        <w:t xml:space="preserve">marked </w:t>
      </w:r>
      <w:r w:rsidR="00B349D4">
        <w:rPr>
          <w:lang w:eastAsia="zh-CN"/>
        </w:rPr>
        <w:t>tendencies towards division in the contemporary world</w:t>
      </w:r>
      <w:r w:rsidR="009870F4">
        <w:rPr>
          <w:lang w:eastAsia="zh-CN"/>
        </w:rPr>
        <w:t>, arguably reflecting</w:t>
      </w:r>
      <w:r w:rsidR="005143DA">
        <w:rPr>
          <w:lang w:eastAsia="zh-CN"/>
        </w:rPr>
        <w:t xml:space="preserve"> not </w:t>
      </w:r>
      <w:r w:rsidR="00243799">
        <w:rPr>
          <w:lang w:eastAsia="zh-CN"/>
        </w:rPr>
        <w:t xml:space="preserve">so much </w:t>
      </w:r>
      <w:r w:rsidR="005143DA">
        <w:rPr>
          <w:lang w:eastAsia="zh-CN"/>
        </w:rPr>
        <w:t>an inability to form social identities</w:t>
      </w:r>
      <w:r w:rsidR="009870F4">
        <w:rPr>
          <w:lang w:eastAsia="zh-CN"/>
        </w:rPr>
        <w:t xml:space="preserve"> as </w:t>
      </w:r>
      <w:r w:rsidR="005143DA">
        <w:rPr>
          <w:lang w:eastAsia="zh-CN"/>
        </w:rPr>
        <w:t>the</w:t>
      </w:r>
      <w:r w:rsidR="009870F4">
        <w:rPr>
          <w:lang w:eastAsia="zh-CN"/>
        </w:rPr>
        <w:t>ir</w:t>
      </w:r>
      <w:r w:rsidR="005143DA">
        <w:rPr>
          <w:lang w:eastAsia="zh-CN"/>
        </w:rPr>
        <w:t xml:space="preserve"> </w:t>
      </w:r>
      <w:r w:rsidR="00243799">
        <w:rPr>
          <w:lang w:eastAsia="zh-CN"/>
        </w:rPr>
        <w:t xml:space="preserve">disordered </w:t>
      </w:r>
      <w:r w:rsidR="005143DA">
        <w:rPr>
          <w:lang w:eastAsia="zh-CN"/>
        </w:rPr>
        <w:t>multiplication</w:t>
      </w:r>
      <w:r w:rsidR="009870F4">
        <w:rPr>
          <w:lang w:eastAsia="zh-CN"/>
        </w:rPr>
        <w:t xml:space="preserve">. </w:t>
      </w:r>
    </w:p>
    <w:p w14:paraId="56C269DE" w14:textId="00E2CF14" w:rsidR="005C7C4E" w:rsidRDefault="00535C74" w:rsidP="00CB698A">
      <w:pPr>
        <w:rPr>
          <w:lang w:eastAsia="zh-CN"/>
        </w:rPr>
      </w:pPr>
      <w:r>
        <w:rPr>
          <w:lang w:eastAsia="zh-CN"/>
        </w:rPr>
        <w:tab/>
      </w:r>
      <w:r w:rsidR="00243799">
        <w:rPr>
          <w:lang w:eastAsia="zh-CN"/>
        </w:rPr>
        <w:t xml:space="preserve">At the heart of the Western history very briefly sketched above </w:t>
      </w:r>
      <w:r>
        <w:rPr>
          <w:lang w:eastAsia="zh-CN"/>
        </w:rPr>
        <w:t xml:space="preserve">is the powerful form of reasoning we can call </w:t>
      </w:r>
      <w:r w:rsidR="00660C89">
        <w:rPr>
          <w:lang w:eastAsia="zh-CN"/>
        </w:rPr>
        <w:t>“</w:t>
      </w:r>
      <w:r>
        <w:rPr>
          <w:lang w:eastAsia="zh-CN"/>
        </w:rPr>
        <w:t>theoretical</w:t>
      </w:r>
      <w:r w:rsidR="00660C89">
        <w:rPr>
          <w:lang w:eastAsia="zh-CN"/>
        </w:rPr>
        <w:t>”</w:t>
      </w:r>
      <w:r w:rsidR="00243799">
        <w:rPr>
          <w:lang w:eastAsia="zh-CN"/>
        </w:rPr>
        <w:t>,</w:t>
      </w:r>
      <w:r>
        <w:rPr>
          <w:lang w:eastAsia="zh-CN"/>
        </w:rPr>
        <w:t xml:space="preserve"> which is the scientific reasoning of the </w:t>
      </w:r>
      <w:r w:rsidRPr="00535C74">
        <w:rPr>
          <w:i/>
          <w:lang w:eastAsia="zh-CN"/>
        </w:rPr>
        <w:t>observer</w:t>
      </w:r>
      <w:r>
        <w:rPr>
          <w:lang w:eastAsia="zh-CN"/>
        </w:rPr>
        <w:t xml:space="preserve"> intent upon </w:t>
      </w:r>
      <w:r w:rsidRPr="00535C74">
        <w:rPr>
          <w:i/>
          <w:lang w:eastAsia="zh-CN"/>
        </w:rPr>
        <w:t>understanding</w:t>
      </w:r>
      <w:r>
        <w:rPr>
          <w:lang w:eastAsia="zh-CN"/>
        </w:rPr>
        <w:t xml:space="preserve"> the world. </w:t>
      </w:r>
      <w:r w:rsidR="006803D6">
        <w:rPr>
          <w:lang w:eastAsia="zh-CN"/>
        </w:rPr>
        <w:t>This is a reasoning that reduces the world’s complexity</w:t>
      </w:r>
      <w:r w:rsidR="00CD263B">
        <w:rPr>
          <w:lang w:eastAsia="zh-CN"/>
        </w:rPr>
        <w:t xml:space="preserve"> to make it more manageable</w:t>
      </w:r>
      <w:r w:rsidR="006803D6">
        <w:rPr>
          <w:lang w:eastAsia="zh-CN"/>
        </w:rPr>
        <w:t xml:space="preserve">. </w:t>
      </w:r>
      <w:r w:rsidR="009870F4">
        <w:rPr>
          <w:lang w:eastAsia="zh-CN"/>
        </w:rPr>
        <w:t xml:space="preserve">It </w:t>
      </w:r>
      <w:r w:rsidR="006803D6">
        <w:rPr>
          <w:lang w:eastAsia="zh-CN"/>
        </w:rPr>
        <w:t>contrast</w:t>
      </w:r>
      <w:r w:rsidR="00310DBB">
        <w:rPr>
          <w:lang w:eastAsia="zh-CN"/>
        </w:rPr>
        <w:t>s</w:t>
      </w:r>
      <w:r w:rsidR="006803D6">
        <w:rPr>
          <w:lang w:eastAsia="zh-CN"/>
        </w:rPr>
        <w:t xml:space="preserve"> </w:t>
      </w:r>
      <w:r w:rsidR="000670AA">
        <w:rPr>
          <w:lang w:eastAsia="zh-CN"/>
        </w:rPr>
        <w:t xml:space="preserve">greatly </w:t>
      </w:r>
      <w:r w:rsidR="00310DBB">
        <w:rPr>
          <w:lang w:eastAsia="zh-CN"/>
        </w:rPr>
        <w:t xml:space="preserve">with </w:t>
      </w:r>
      <w:r w:rsidR="006803D6">
        <w:rPr>
          <w:lang w:eastAsia="zh-CN"/>
        </w:rPr>
        <w:t xml:space="preserve">our social </w:t>
      </w:r>
      <w:r w:rsidR="00310DBB">
        <w:rPr>
          <w:lang w:eastAsia="zh-CN"/>
        </w:rPr>
        <w:t>reasoning</w:t>
      </w:r>
      <w:r w:rsidR="00243799">
        <w:rPr>
          <w:lang w:eastAsia="zh-CN"/>
        </w:rPr>
        <w:t xml:space="preserve"> </w:t>
      </w:r>
      <w:proofErr w:type="gramStart"/>
      <w:r w:rsidR="00243799">
        <w:rPr>
          <w:lang w:eastAsia="zh-CN"/>
        </w:rPr>
        <w:t>however</w:t>
      </w:r>
      <w:r w:rsidR="00310DBB">
        <w:rPr>
          <w:lang w:eastAsia="zh-CN"/>
        </w:rPr>
        <w:t>,</w:t>
      </w:r>
      <w:proofErr w:type="gramEnd"/>
      <w:r w:rsidR="00310DBB">
        <w:rPr>
          <w:lang w:eastAsia="zh-CN"/>
        </w:rPr>
        <w:t xml:space="preserve"> by which we reason as </w:t>
      </w:r>
      <w:r w:rsidR="00310DBB" w:rsidRPr="00F54FCD">
        <w:rPr>
          <w:i/>
          <w:lang w:eastAsia="zh-CN"/>
        </w:rPr>
        <w:t>participants</w:t>
      </w:r>
      <w:r w:rsidR="00310DBB">
        <w:rPr>
          <w:lang w:eastAsia="zh-CN"/>
        </w:rPr>
        <w:t xml:space="preserve"> in the world</w:t>
      </w:r>
      <w:r w:rsidR="003B1EEF">
        <w:rPr>
          <w:lang w:eastAsia="zh-CN"/>
        </w:rPr>
        <w:t xml:space="preserve">. </w:t>
      </w:r>
      <w:r w:rsidR="00CD263B">
        <w:rPr>
          <w:lang w:eastAsia="zh-CN"/>
        </w:rPr>
        <w:t xml:space="preserve">Here we have </w:t>
      </w:r>
      <w:r w:rsidR="003B1EEF">
        <w:rPr>
          <w:lang w:eastAsia="zh-CN"/>
        </w:rPr>
        <w:t xml:space="preserve">to accept the </w:t>
      </w:r>
      <w:r w:rsidR="00D05885">
        <w:rPr>
          <w:lang w:eastAsia="zh-CN"/>
        </w:rPr>
        <w:t xml:space="preserve">world’s </w:t>
      </w:r>
      <w:r w:rsidR="003B1EEF">
        <w:rPr>
          <w:lang w:eastAsia="zh-CN"/>
        </w:rPr>
        <w:t xml:space="preserve">complexity, through our encounter with the infinitely complex human other. </w:t>
      </w:r>
      <w:r w:rsidR="00CD263B">
        <w:rPr>
          <w:lang w:eastAsia="zh-CN"/>
        </w:rPr>
        <w:t>I</w:t>
      </w:r>
      <w:r w:rsidR="00310DBB">
        <w:rPr>
          <w:lang w:eastAsia="zh-CN"/>
        </w:rPr>
        <w:t>n our d</w:t>
      </w:r>
      <w:r w:rsidR="00041F99">
        <w:rPr>
          <w:lang w:eastAsia="zh-CN"/>
        </w:rPr>
        <w:t>ealings with other human beings</w:t>
      </w:r>
      <w:r w:rsidR="00DE3126">
        <w:rPr>
          <w:lang w:eastAsia="zh-CN"/>
        </w:rPr>
        <w:t>,</w:t>
      </w:r>
      <w:r w:rsidR="00310DBB">
        <w:rPr>
          <w:lang w:eastAsia="zh-CN"/>
        </w:rPr>
        <w:t xml:space="preserve"> </w:t>
      </w:r>
      <w:r w:rsidR="000670AA">
        <w:rPr>
          <w:lang w:eastAsia="zh-CN"/>
        </w:rPr>
        <w:t xml:space="preserve">we have to </w:t>
      </w:r>
      <w:r w:rsidR="00310DBB">
        <w:rPr>
          <w:lang w:eastAsia="zh-CN"/>
        </w:rPr>
        <w:t>refuse the reduction of complexity</w:t>
      </w:r>
      <w:r w:rsidR="000670AA">
        <w:rPr>
          <w:lang w:eastAsia="zh-CN"/>
        </w:rPr>
        <w:t xml:space="preserve"> </w:t>
      </w:r>
      <w:r w:rsidR="00041F99">
        <w:rPr>
          <w:lang w:eastAsia="zh-CN"/>
        </w:rPr>
        <w:t xml:space="preserve">if we are not to find that we </w:t>
      </w:r>
      <w:r w:rsidR="00D05885">
        <w:rPr>
          <w:lang w:eastAsia="zh-CN"/>
        </w:rPr>
        <w:t xml:space="preserve">are </w:t>
      </w:r>
      <w:proofErr w:type="spellStart"/>
      <w:r w:rsidR="007F7F99">
        <w:rPr>
          <w:lang w:eastAsia="zh-CN"/>
        </w:rPr>
        <w:t>instrumentaliz</w:t>
      </w:r>
      <w:r w:rsidR="00D05885">
        <w:rPr>
          <w:lang w:eastAsia="zh-CN"/>
        </w:rPr>
        <w:t>ing</w:t>
      </w:r>
      <w:proofErr w:type="spellEnd"/>
      <w:r w:rsidR="00D05885">
        <w:rPr>
          <w:lang w:eastAsia="zh-CN"/>
        </w:rPr>
        <w:t xml:space="preserve"> other human beings. </w:t>
      </w:r>
      <w:proofErr w:type="spellStart"/>
      <w:r w:rsidR="000670AA">
        <w:rPr>
          <w:lang w:eastAsia="zh-CN"/>
        </w:rPr>
        <w:t>Instrumentalization</w:t>
      </w:r>
      <w:proofErr w:type="spellEnd"/>
      <w:r w:rsidR="000670AA">
        <w:rPr>
          <w:lang w:eastAsia="zh-CN"/>
        </w:rPr>
        <w:t xml:space="preserve"> of the human other is socially disadvantageous. </w:t>
      </w:r>
      <w:r w:rsidR="00CD263B">
        <w:rPr>
          <w:lang w:eastAsia="zh-CN"/>
        </w:rPr>
        <w:t xml:space="preserve">This social reasoning, in the light of the new science of our human sociality, appears to </w:t>
      </w:r>
      <w:r w:rsidR="00D05885">
        <w:rPr>
          <w:lang w:eastAsia="zh-CN"/>
        </w:rPr>
        <w:t xml:space="preserve">play </w:t>
      </w:r>
      <w:r w:rsidR="00CD263B">
        <w:rPr>
          <w:lang w:eastAsia="zh-CN"/>
        </w:rPr>
        <w:t>a central role in body, life and world</w:t>
      </w:r>
      <w:r w:rsidR="007B7BE4">
        <w:rPr>
          <w:lang w:eastAsia="zh-CN"/>
        </w:rPr>
        <w:t xml:space="preserve">. It </w:t>
      </w:r>
      <w:r w:rsidR="00CD263B">
        <w:rPr>
          <w:lang w:eastAsia="zh-CN"/>
        </w:rPr>
        <w:t xml:space="preserve">represents a very powerful mode of </w:t>
      </w:r>
      <w:r w:rsidR="00660C89">
        <w:rPr>
          <w:lang w:eastAsia="zh-CN"/>
        </w:rPr>
        <w:t>“integrated” reasoning</w:t>
      </w:r>
      <w:r w:rsidR="007B7BE4">
        <w:rPr>
          <w:lang w:eastAsia="zh-CN"/>
        </w:rPr>
        <w:t>, combining</w:t>
      </w:r>
      <w:r w:rsidR="005C7C4E">
        <w:rPr>
          <w:lang w:eastAsia="zh-CN"/>
        </w:rPr>
        <w:t xml:space="preserve"> </w:t>
      </w:r>
      <w:r w:rsidR="00660C89">
        <w:rPr>
          <w:lang w:eastAsia="zh-CN"/>
        </w:rPr>
        <w:t>“feeling”</w:t>
      </w:r>
      <w:r w:rsidR="007B7BE4">
        <w:rPr>
          <w:lang w:eastAsia="zh-CN"/>
        </w:rPr>
        <w:t xml:space="preserve">, “intuition”, </w:t>
      </w:r>
      <w:r w:rsidR="00660C89">
        <w:rPr>
          <w:lang w:eastAsia="zh-CN"/>
        </w:rPr>
        <w:t>“emotion”</w:t>
      </w:r>
      <w:r w:rsidR="007B7BE4">
        <w:rPr>
          <w:lang w:eastAsia="zh-CN"/>
        </w:rPr>
        <w:t xml:space="preserve"> and </w:t>
      </w:r>
      <w:r w:rsidR="00660C89">
        <w:rPr>
          <w:lang w:eastAsia="zh-CN"/>
        </w:rPr>
        <w:t xml:space="preserve">high level evaluation, </w:t>
      </w:r>
      <w:r w:rsidR="00EA6C3B">
        <w:rPr>
          <w:lang w:eastAsia="zh-CN"/>
        </w:rPr>
        <w:t xml:space="preserve">which becomes </w:t>
      </w:r>
      <w:r w:rsidR="00660C89">
        <w:rPr>
          <w:lang w:eastAsia="zh-CN"/>
        </w:rPr>
        <w:t xml:space="preserve">in our </w:t>
      </w:r>
      <w:r w:rsidR="009144B1">
        <w:rPr>
          <w:lang w:eastAsia="zh-CN"/>
        </w:rPr>
        <w:t xml:space="preserve">free, decision-making </w:t>
      </w:r>
      <w:r w:rsidR="001D3855">
        <w:rPr>
          <w:lang w:eastAsia="zh-CN"/>
        </w:rPr>
        <w:t xml:space="preserve">consciousness very distinctively a </w:t>
      </w:r>
      <w:r w:rsidR="009144B1">
        <w:rPr>
          <w:lang w:eastAsia="zh-CN"/>
        </w:rPr>
        <w:t xml:space="preserve">system of </w:t>
      </w:r>
      <w:r w:rsidR="00837EA2">
        <w:rPr>
          <w:i/>
          <w:lang w:eastAsia="zh-CN"/>
        </w:rPr>
        <w:t xml:space="preserve">communitarian deep </w:t>
      </w:r>
      <w:r w:rsidR="005C7C4E" w:rsidRPr="005C7C4E">
        <w:rPr>
          <w:i/>
          <w:lang w:eastAsia="zh-CN"/>
        </w:rPr>
        <w:t>recognition</w:t>
      </w:r>
      <w:r w:rsidR="005C7C4E">
        <w:rPr>
          <w:lang w:eastAsia="zh-CN"/>
        </w:rPr>
        <w:t xml:space="preserve">: </w:t>
      </w:r>
      <w:r w:rsidR="009144B1">
        <w:rPr>
          <w:lang w:eastAsia="zh-CN"/>
        </w:rPr>
        <w:t xml:space="preserve">enhanced </w:t>
      </w:r>
      <w:r w:rsidR="005C7C4E">
        <w:rPr>
          <w:lang w:eastAsia="zh-CN"/>
        </w:rPr>
        <w:t xml:space="preserve">and compassionate </w:t>
      </w:r>
      <w:r w:rsidR="009144B1">
        <w:rPr>
          <w:lang w:eastAsia="zh-CN"/>
        </w:rPr>
        <w:t>deliberative judgments made for and with the human other</w:t>
      </w:r>
      <w:r w:rsidR="005C7C4E">
        <w:rPr>
          <w:lang w:eastAsia="zh-CN"/>
        </w:rPr>
        <w:t xml:space="preserve">. </w:t>
      </w:r>
      <w:r w:rsidR="00EA6C3B">
        <w:rPr>
          <w:lang w:eastAsia="zh-CN"/>
        </w:rPr>
        <w:t>We have to ask the question</w:t>
      </w:r>
      <w:r w:rsidR="001D3855">
        <w:rPr>
          <w:lang w:eastAsia="zh-CN"/>
        </w:rPr>
        <w:t xml:space="preserve"> then</w:t>
      </w:r>
      <w:r w:rsidR="00EA6C3B">
        <w:rPr>
          <w:lang w:eastAsia="zh-CN"/>
        </w:rPr>
        <w:t>: h</w:t>
      </w:r>
      <w:r w:rsidR="005C7C4E">
        <w:rPr>
          <w:lang w:eastAsia="zh-CN"/>
        </w:rPr>
        <w:t xml:space="preserve">ow can a Western world, tuned – both positively and negatively -  for some three hundred years to a different kind of science, now quickly learn to discern a different melody? </w:t>
      </w:r>
    </w:p>
    <w:p w14:paraId="3766151C" w14:textId="31286BA5" w:rsidR="006E059F" w:rsidRDefault="00A40A8F" w:rsidP="0026208B">
      <w:pPr>
        <w:rPr>
          <w:lang w:eastAsia="zh-CN"/>
        </w:rPr>
      </w:pPr>
      <w:r>
        <w:rPr>
          <w:lang w:eastAsia="zh-CN"/>
        </w:rPr>
        <w:tab/>
        <w:t xml:space="preserve">And what does this </w:t>
      </w:r>
      <w:r w:rsidR="003C7B0F">
        <w:rPr>
          <w:lang w:eastAsia="zh-CN"/>
        </w:rPr>
        <w:t xml:space="preserve">history of science </w:t>
      </w:r>
      <w:r>
        <w:rPr>
          <w:lang w:eastAsia="zh-CN"/>
        </w:rPr>
        <w:t xml:space="preserve">in the West </w:t>
      </w:r>
      <w:r w:rsidR="00837EA2">
        <w:rPr>
          <w:lang w:eastAsia="zh-CN"/>
        </w:rPr>
        <w:t xml:space="preserve">mean for </w:t>
      </w:r>
      <w:r w:rsidR="005C7C4E">
        <w:rPr>
          <w:lang w:eastAsia="zh-CN"/>
        </w:rPr>
        <w:t>China</w:t>
      </w:r>
      <w:r w:rsidR="001D3855">
        <w:rPr>
          <w:lang w:eastAsia="zh-CN"/>
        </w:rPr>
        <w:t>, within the East-West dialogue with which Yang is concerned</w:t>
      </w:r>
      <w:r w:rsidR="005C7C4E">
        <w:rPr>
          <w:lang w:eastAsia="zh-CN"/>
        </w:rPr>
        <w:t>?</w:t>
      </w:r>
      <w:r w:rsidR="00837EA2">
        <w:rPr>
          <w:lang w:eastAsia="zh-CN"/>
        </w:rPr>
        <w:t xml:space="preserve"> The first thing </w:t>
      </w:r>
      <w:r w:rsidR="001D3855">
        <w:rPr>
          <w:lang w:eastAsia="zh-CN"/>
        </w:rPr>
        <w:t xml:space="preserve">we learn from it is </w:t>
      </w:r>
      <w:r w:rsidR="00837EA2">
        <w:rPr>
          <w:lang w:eastAsia="zh-CN"/>
        </w:rPr>
        <w:t xml:space="preserve">that </w:t>
      </w:r>
      <w:r w:rsidR="0003590F">
        <w:rPr>
          <w:lang w:eastAsia="zh-CN"/>
        </w:rPr>
        <w:t xml:space="preserve">the encounter with </w:t>
      </w:r>
      <w:r w:rsidR="00837EA2">
        <w:rPr>
          <w:lang w:eastAsia="zh-CN"/>
        </w:rPr>
        <w:t>science can define a civilization</w:t>
      </w:r>
      <w:r>
        <w:rPr>
          <w:lang w:eastAsia="zh-CN"/>
        </w:rPr>
        <w:t xml:space="preserve">. </w:t>
      </w:r>
      <w:r w:rsidR="00D20EDB">
        <w:rPr>
          <w:lang w:eastAsia="zh-CN"/>
        </w:rPr>
        <w:t xml:space="preserve">The key </w:t>
      </w:r>
      <w:r w:rsidR="001D3855">
        <w:rPr>
          <w:lang w:eastAsia="zh-CN"/>
        </w:rPr>
        <w:t xml:space="preserve">issue here though is whether </w:t>
      </w:r>
      <w:r w:rsidR="00D20EDB">
        <w:rPr>
          <w:lang w:eastAsia="zh-CN"/>
        </w:rPr>
        <w:t xml:space="preserve">the new </w:t>
      </w:r>
      <w:proofErr w:type="gramStart"/>
      <w:r w:rsidR="00D20EDB">
        <w:rPr>
          <w:lang w:eastAsia="zh-CN"/>
        </w:rPr>
        <w:t>science  intersects</w:t>
      </w:r>
      <w:proofErr w:type="gramEnd"/>
      <w:r w:rsidR="00D20EDB">
        <w:rPr>
          <w:lang w:eastAsia="zh-CN"/>
        </w:rPr>
        <w:t xml:space="preserve"> </w:t>
      </w:r>
      <w:r w:rsidR="00D20EDB" w:rsidRPr="008D6D76">
        <w:rPr>
          <w:i/>
          <w:lang w:eastAsia="zh-CN"/>
        </w:rPr>
        <w:t>existentially</w:t>
      </w:r>
      <w:r w:rsidR="00D20EDB">
        <w:rPr>
          <w:lang w:eastAsia="zh-CN"/>
        </w:rPr>
        <w:t xml:space="preserve"> with a civilization. It can do that by challenging a civilization very forcefully as “pre-modern” </w:t>
      </w:r>
      <w:r w:rsidR="008D6D76">
        <w:rPr>
          <w:lang w:eastAsia="zh-CN"/>
        </w:rPr>
        <w:t xml:space="preserve">Christian </w:t>
      </w:r>
      <w:r w:rsidR="00D20EDB">
        <w:rPr>
          <w:lang w:eastAsia="zh-CN"/>
        </w:rPr>
        <w:t xml:space="preserve">Europe was challenged by the new </w:t>
      </w:r>
      <w:r w:rsidR="00A5772B">
        <w:rPr>
          <w:lang w:eastAsia="zh-CN"/>
        </w:rPr>
        <w:t xml:space="preserve">humanist </w:t>
      </w:r>
      <w:r w:rsidR="00D20EDB">
        <w:rPr>
          <w:lang w:eastAsia="zh-CN"/>
        </w:rPr>
        <w:t>definition of matter</w:t>
      </w:r>
      <w:r w:rsidR="00DB1F0B">
        <w:rPr>
          <w:lang w:eastAsia="zh-CN"/>
        </w:rPr>
        <w:t xml:space="preserve">, </w:t>
      </w:r>
      <w:r w:rsidR="001D3855">
        <w:rPr>
          <w:lang w:eastAsia="zh-CN"/>
        </w:rPr>
        <w:t xml:space="preserve">leading to extensive “accommodations”. </w:t>
      </w:r>
      <w:r w:rsidR="0003590F">
        <w:rPr>
          <w:lang w:eastAsia="zh-CN"/>
        </w:rPr>
        <w:t xml:space="preserve">Alternatively, </w:t>
      </w:r>
      <w:r w:rsidR="001D3855">
        <w:rPr>
          <w:lang w:eastAsia="zh-CN"/>
        </w:rPr>
        <w:t xml:space="preserve">it can do so </w:t>
      </w:r>
      <w:r w:rsidR="00D20EDB">
        <w:rPr>
          <w:lang w:eastAsia="zh-CN"/>
        </w:rPr>
        <w:t xml:space="preserve">by </w:t>
      </w:r>
      <w:r w:rsidR="00A5772B">
        <w:rPr>
          <w:lang w:eastAsia="zh-CN"/>
        </w:rPr>
        <w:t xml:space="preserve">discovering in the new science its own image. </w:t>
      </w:r>
      <w:r w:rsidR="008D11E0">
        <w:rPr>
          <w:lang w:eastAsia="zh-CN"/>
        </w:rPr>
        <w:t xml:space="preserve">It can be an encounter through </w:t>
      </w:r>
      <w:r w:rsidR="008D11E0" w:rsidRPr="008D11E0">
        <w:rPr>
          <w:i/>
          <w:lang w:eastAsia="zh-CN"/>
        </w:rPr>
        <w:t>recognition</w:t>
      </w:r>
      <w:r w:rsidR="008D11E0">
        <w:rPr>
          <w:lang w:eastAsia="zh-CN"/>
        </w:rPr>
        <w:t xml:space="preserve">. </w:t>
      </w:r>
      <w:r w:rsidR="006E059F">
        <w:rPr>
          <w:lang w:eastAsia="zh-CN"/>
        </w:rPr>
        <w:t xml:space="preserve">Such recognition </w:t>
      </w:r>
      <w:r w:rsidR="001D3855">
        <w:rPr>
          <w:lang w:eastAsia="zh-CN"/>
        </w:rPr>
        <w:t xml:space="preserve">may </w:t>
      </w:r>
      <w:r w:rsidR="006E059F">
        <w:rPr>
          <w:lang w:eastAsia="zh-CN"/>
        </w:rPr>
        <w:t xml:space="preserve">not </w:t>
      </w:r>
      <w:r w:rsidR="001D3855">
        <w:rPr>
          <w:lang w:eastAsia="zh-CN"/>
        </w:rPr>
        <w:t xml:space="preserve">be </w:t>
      </w:r>
      <w:r w:rsidR="006E059F">
        <w:rPr>
          <w:lang w:eastAsia="zh-CN"/>
        </w:rPr>
        <w:t>dynamic however in the sense that the Western experience was dynamic and existential. But w</w:t>
      </w:r>
      <w:r w:rsidR="00DB1F0B">
        <w:rPr>
          <w:lang w:eastAsia="zh-CN"/>
        </w:rPr>
        <w:t xml:space="preserve">hat we </w:t>
      </w:r>
      <w:r w:rsidR="006E059F">
        <w:rPr>
          <w:lang w:eastAsia="zh-CN"/>
        </w:rPr>
        <w:t xml:space="preserve">further </w:t>
      </w:r>
      <w:r w:rsidR="00DB1F0B">
        <w:rPr>
          <w:lang w:eastAsia="zh-CN"/>
        </w:rPr>
        <w:t xml:space="preserve">learn from the Western case is that an encounter with science </w:t>
      </w:r>
      <w:r w:rsidR="00CB2DCC">
        <w:rPr>
          <w:lang w:eastAsia="zh-CN"/>
        </w:rPr>
        <w:t xml:space="preserve">can have </w:t>
      </w:r>
      <w:r w:rsidR="006E059F">
        <w:rPr>
          <w:lang w:eastAsia="zh-CN"/>
        </w:rPr>
        <w:t xml:space="preserve">truly </w:t>
      </w:r>
      <w:r w:rsidR="00CB2DCC">
        <w:rPr>
          <w:lang w:eastAsia="zh-CN"/>
        </w:rPr>
        <w:t>global implications. Scientific knowledge is not local but universal knowledge.</w:t>
      </w:r>
      <w:r w:rsidR="006E059F">
        <w:rPr>
          <w:lang w:eastAsia="zh-CN"/>
        </w:rPr>
        <w:t xml:space="preserve"> Perhaps a Chin</w:t>
      </w:r>
      <w:r w:rsidR="0026208B">
        <w:rPr>
          <w:lang w:eastAsia="zh-CN"/>
        </w:rPr>
        <w:t xml:space="preserve">a concerned with adjusting to its </w:t>
      </w:r>
      <w:r w:rsidR="006E059F">
        <w:rPr>
          <w:lang w:eastAsia="zh-CN"/>
        </w:rPr>
        <w:t>new global role in the world</w:t>
      </w:r>
      <w:r w:rsidR="0026208B">
        <w:rPr>
          <w:lang w:eastAsia="zh-CN"/>
        </w:rPr>
        <w:t xml:space="preserve">, will not just recognize significant elements of its own traditions </w:t>
      </w:r>
      <w:r w:rsidR="00AC5691">
        <w:rPr>
          <w:lang w:eastAsia="zh-CN"/>
        </w:rPr>
        <w:t>here</w:t>
      </w:r>
      <w:r w:rsidR="0026208B">
        <w:rPr>
          <w:lang w:eastAsia="zh-CN"/>
        </w:rPr>
        <w:t xml:space="preserve">, but will also discover an existential edge in the application of this new knowledge in the contexts of its present and </w:t>
      </w:r>
      <w:r w:rsidR="0026208B" w:rsidRPr="0026208B">
        <w:rPr>
          <w:lang w:eastAsia="zh-CN"/>
        </w:rPr>
        <w:t>future international social, economic and political roles?</w:t>
      </w:r>
    </w:p>
    <w:p w14:paraId="6945A705" w14:textId="496061EE" w:rsidR="00153813" w:rsidRDefault="0026208B" w:rsidP="0026208B">
      <w:pPr>
        <w:rPr>
          <w:lang w:eastAsia="zh-CN"/>
        </w:rPr>
      </w:pPr>
      <w:r>
        <w:rPr>
          <w:lang w:eastAsia="zh-CN"/>
        </w:rPr>
        <w:tab/>
      </w:r>
      <w:r w:rsidRPr="0026208B">
        <w:rPr>
          <w:lang w:eastAsia="zh-CN"/>
        </w:rPr>
        <w:t xml:space="preserve">And so we return to </w:t>
      </w:r>
      <w:proofErr w:type="spellStart"/>
      <w:r w:rsidRPr="0026208B">
        <w:rPr>
          <w:lang w:eastAsia="zh-CN"/>
        </w:rPr>
        <w:t>Prof.</w:t>
      </w:r>
      <w:proofErr w:type="spellEnd"/>
      <w:r w:rsidRPr="0026208B">
        <w:rPr>
          <w:lang w:eastAsia="zh-CN"/>
        </w:rPr>
        <w:t xml:space="preserve"> Yang and </w:t>
      </w:r>
      <w:r w:rsidR="00AC5691">
        <w:rPr>
          <w:lang w:eastAsia="zh-CN"/>
        </w:rPr>
        <w:t xml:space="preserve">to </w:t>
      </w:r>
      <w:r w:rsidRPr="0026208B">
        <w:rPr>
          <w:lang w:eastAsia="zh-CN"/>
        </w:rPr>
        <w:t xml:space="preserve">our re-contextualization of his </w:t>
      </w:r>
      <w:r>
        <w:rPr>
          <w:lang w:eastAsia="zh-CN"/>
        </w:rPr>
        <w:t xml:space="preserve">artful, </w:t>
      </w:r>
      <w:r w:rsidRPr="0026208B">
        <w:rPr>
          <w:lang w:eastAsia="zh-CN"/>
        </w:rPr>
        <w:t>multi-layered, perspectival composition of an East-West dialogue</w:t>
      </w:r>
      <w:r>
        <w:rPr>
          <w:lang w:eastAsia="zh-CN"/>
        </w:rPr>
        <w:t>,</w:t>
      </w:r>
      <w:r w:rsidRPr="0026208B">
        <w:rPr>
          <w:lang w:eastAsia="zh-CN"/>
        </w:rPr>
        <w:t xml:space="preserve"> based on the unity of “</w:t>
      </w:r>
      <w:proofErr w:type="spellStart"/>
      <w:r w:rsidRPr="0026208B">
        <w:rPr>
          <w:i/>
          <w:lang w:eastAsia="zh-CN"/>
        </w:rPr>
        <w:t>Zhi</w:t>
      </w:r>
      <w:proofErr w:type="spellEnd"/>
      <w:r w:rsidRPr="0026208B">
        <w:rPr>
          <w:lang w:eastAsia="zh-CN"/>
        </w:rPr>
        <w:t>” (知Knowing) and “</w:t>
      </w:r>
      <w:r w:rsidRPr="0026208B">
        <w:rPr>
          <w:i/>
          <w:lang w:eastAsia="zh-CN"/>
        </w:rPr>
        <w:t>Xing</w:t>
      </w:r>
      <w:r w:rsidRPr="0026208B">
        <w:rPr>
          <w:lang w:eastAsia="zh-CN"/>
        </w:rPr>
        <w:t>” (行Application)</w:t>
      </w:r>
      <w:r>
        <w:rPr>
          <w:lang w:eastAsia="zh-CN"/>
        </w:rPr>
        <w:t xml:space="preserve">.  His primary tools are those of a craftsman who wishes to open up new avenues of thought, new possibilities of imagining, through referencing the </w:t>
      </w:r>
      <w:r w:rsidR="00AC5691">
        <w:rPr>
          <w:lang w:eastAsia="zh-CN"/>
        </w:rPr>
        <w:t>“</w:t>
      </w:r>
      <w:r>
        <w:rPr>
          <w:lang w:eastAsia="zh-CN"/>
        </w:rPr>
        <w:t>intra-lin</w:t>
      </w:r>
      <w:r w:rsidR="00AA18EE">
        <w:rPr>
          <w:lang w:eastAsia="zh-CN"/>
        </w:rPr>
        <w:t>gual and inter-lingual</w:t>
      </w:r>
      <w:r w:rsidR="00AC5691">
        <w:rPr>
          <w:lang w:eastAsia="zh-CN"/>
        </w:rPr>
        <w:t>”</w:t>
      </w:r>
      <w:r w:rsidR="00AA18EE">
        <w:rPr>
          <w:lang w:eastAsia="zh-CN"/>
        </w:rPr>
        <w:t xml:space="preserve"> flows that </w:t>
      </w:r>
      <w:r w:rsidR="00291D35">
        <w:rPr>
          <w:lang w:eastAsia="zh-CN"/>
        </w:rPr>
        <w:t xml:space="preserve">come into view through </w:t>
      </w:r>
      <w:r w:rsidR="00AA18EE">
        <w:rPr>
          <w:lang w:eastAsia="zh-CN"/>
        </w:rPr>
        <w:t>the co-positioning of Ricci, Fo</w:t>
      </w:r>
      <w:r w:rsidR="00AC5691">
        <w:rPr>
          <w:lang w:eastAsia="zh-CN"/>
        </w:rPr>
        <w:t xml:space="preserve">ucault and Epictetus. Since our </w:t>
      </w:r>
      <w:r w:rsidR="00AA18EE" w:rsidRPr="0026208B">
        <w:rPr>
          <w:lang w:eastAsia="zh-CN"/>
        </w:rPr>
        <w:t>re-contextualization</w:t>
      </w:r>
      <w:r w:rsidR="00AA18EE">
        <w:rPr>
          <w:lang w:eastAsia="zh-CN"/>
        </w:rPr>
        <w:t xml:space="preserve"> </w:t>
      </w:r>
      <w:r w:rsidR="00AC5691">
        <w:rPr>
          <w:lang w:eastAsia="zh-CN"/>
        </w:rPr>
        <w:t xml:space="preserve">here </w:t>
      </w:r>
      <w:r w:rsidR="00AA18EE">
        <w:rPr>
          <w:lang w:eastAsia="zh-CN"/>
        </w:rPr>
        <w:t xml:space="preserve">is scientific, and its articulation </w:t>
      </w:r>
      <w:r w:rsidR="00AC5691">
        <w:rPr>
          <w:lang w:eastAsia="zh-CN"/>
        </w:rPr>
        <w:t xml:space="preserve">at this point </w:t>
      </w:r>
      <w:proofErr w:type="spellStart"/>
      <w:r w:rsidR="00AA18EE">
        <w:rPr>
          <w:lang w:eastAsia="zh-CN"/>
        </w:rPr>
        <w:t>provisionary</w:t>
      </w:r>
      <w:proofErr w:type="spellEnd"/>
      <w:r w:rsidR="00AA18EE">
        <w:rPr>
          <w:lang w:eastAsia="zh-CN"/>
        </w:rPr>
        <w:t xml:space="preserve">, it is inappropriate </w:t>
      </w:r>
      <w:r w:rsidR="00AC5691">
        <w:rPr>
          <w:lang w:eastAsia="zh-CN"/>
        </w:rPr>
        <w:t xml:space="preserve">– as we have indicated – </w:t>
      </w:r>
      <w:r w:rsidR="00AA18EE">
        <w:rPr>
          <w:lang w:eastAsia="zh-CN"/>
        </w:rPr>
        <w:t xml:space="preserve">not to observe a strong boundary between </w:t>
      </w:r>
      <w:r w:rsidR="00291D35">
        <w:rPr>
          <w:lang w:eastAsia="zh-CN"/>
        </w:rPr>
        <w:t xml:space="preserve">the scientific section of the present paper and </w:t>
      </w:r>
      <w:r w:rsidR="00AA18EE">
        <w:rPr>
          <w:lang w:eastAsia="zh-CN"/>
        </w:rPr>
        <w:t>Yang’</w:t>
      </w:r>
      <w:r w:rsidR="00291D35">
        <w:rPr>
          <w:lang w:eastAsia="zh-CN"/>
        </w:rPr>
        <w:t>s work</w:t>
      </w:r>
      <w:r w:rsidR="00AA18EE">
        <w:rPr>
          <w:lang w:eastAsia="zh-CN"/>
        </w:rPr>
        <w:t>.</w:t>
      </w:r>
      <w:r w:rsidR="00291D35">
        <w:rPr>
          <w:lang w:eastAsia="zh-CN"/>
        </w:rPr>
        <w:t xml:space="preserve"> That distance must be respected. And yet in terms of temporality, there is indeed a strong </w:t>
      </w:r>
      <w:r w:rsidR="00F603B4">
        <w:rPr>
          <w:lang w:eastAsia="zh-CN"/>
        </w:rPr>
        <w:t xml:space="preserve">and authentic </w:t>
      </w:r>
      <w:r w:rsidR="00291D35">
        <w:rPr>
          <w:lang w:eastAsia="zh-CN"/>
        </w:rPr>
        <w:t xml:space="preserve">connection. </w:t>
      </w:r>
    </w:p>
    <w:p w14:paraId="043D1A57" w14:textId="68B57D99" w:rsidR="0026208B" w:rsidRDefault="00153813" w:rsidP="0026208B">
      <w:pPr>
        <w:rPr>
          <w:lang w:eastAsia="zh-CN"/>
        </w:rPr>
      </w:pPr>
      <w:r>
        <w:rPr>
          <w:lang w:eastAsia="zh-CN"/>
        </w:rPr>
        <w:lastRenderedPageBreak/>
        <w:tab/>
        <w:t xml:space="preserve">Yang speaks of </w:t>
      </w:r>
      <w:r w:rsidR="00F603B4">
        <w:rPr>
          <w:lang w:eastAsia="zh-CN"/>
        </w:rPr>
        <w:t xml:space="preserve">“a thousand years of transformation”, in Foucault’s phrase, </w:t>
      </w:r>
      <w:r w:rsidR="00AC5691">
        <w:rPr>
          <w:lang w:eastAsia="zh-CN"/>
        </w:rPr>
        <w:t>pointing</w:t>
      </w:r>
      <w:r w:rsidR="00F603B4">
        <w:rPr>
          <w:lang w:eastAsia="zh-CN"/>
        </w:rPr>
        <w:t xml:space="preserve"> to the long term nature of this investigation. In cultural terms, with the evocation of </w:t>
      </w:r>
      <w:r w:rsidR="00AC5691">
        <w:rPr>
          <w:lang w:eastAsia="zh-CN"/>
        </w:rPr>
        <w:t xml:space="preserve">the Stoic </w:t>
      </w:r>
      <w:r w:rsidR="00F603B4">
        <w:rPr>
          <w:lang w:eastAsia="zh-CN"/>
        </w:rPr>
        <w:t xml:space="preserve">Epictetus, we are close to </w:t>
      </w:r>
      <w:r w:rsidR="00FB4493" w:rsidRPr="00FB4493">
        <w:rPr>
          <w:i/>
          <w:lang w:eastAsia="zh-CN"/>
        </w:rPr>
        <w:t>cultural</w:t>
      </w:r>
      <w:r w:rsidR="00FB4493">
        <w:rPr>
          <w:lang w:eastAsia="zh-CN"/>
        </w:rPr>
        <w:t xml:space="preserve"> </w:t>
      </w:r>
      <w:r w:rsidR="00F603B4">
        <w:rPr>
          <w:lang w:eastAsia="zh-CN"/>
        </w:rPr>
        <w:t xml:space="preserve">deep-time. Foucault, Ricci and Yang all understand that the distance and difference that comes </w:t>
      </w:r>
      <w:proofErr w:type="gramStart"/>
      <w:r w:rsidR="00F603B4">
        <w:rPr>
          <w:lang w:eastAsia="zh-CN"/>
        </w:rPr>
        <w:t>with  time</w:t>
      </w:r>
      <w:proofErr w:type="gramEnd"/>
      <w:r w:rsidR="00F603B4">
        <w:rPr>
          <w:lang w:eastAsia="zh-CN"/>
        </w:rPr>
        <w:t xml:space="preserve"> is a strong hermeneutical resource. The notion of tradition allows commonality and so also the possibility of learning from the past. Such learning </w:t>
      </w:r>
      <w:r w:rsidR="00AC5691">
        <w:rPr>
          <w:lang w:eastAsia="zh-CN"/>
        </w:rPr>
        <w:t xml:space="preserve">from within traditions and from between traditions, over time, </w:t>
      </w:r>
      <w:r w:rsidR="00F603B4">
        <w:rPr>
          <w:lang w:eastAsia="zh-CN"/>
        </w:rPr>
        <w:t>can be a significant form of human enrichment.</w:t>
      </w:r>
    </w:p>
    <w:p w14:paraId="77A8C073" w14:textId="7F28884F" w:rsidR="00F603B4" w:rsidRDefault="00F603B4" w:rsidP="0026208B">
      <w:pPr>
        <w:rPr>
          <w:lang w:eastAsia="zh-CN"/>
        </w:rPr>
      </w:pPr>
      <w:r>
        <w:rPr>
          <w:lang w:eastAsia="zh-CN"/>
        </w:rPr>
        <w:tab/>
      </w:r>
      <w:r w:rsidR="00AC5691">
        <w:rPr>
          <w:lang w:eastAsia="zh-CN"/>
        </w:rPr>
        <w:t xml:space="preserve">But the </w:t>
      </w:r>
      <w:r>
        <w:rPr>
          <w:lang w:eastAsia="zh-CN"/>
        </w:rPr>
        <w:t xml:space="preserve">new science too plays with time and learning. </w:t>
      </w:r>
      <w:r w:rsidR="00F718E7">
        <w:rPr>
          <w:lang w:eastAsia="zh-CN"/>
        </w:rPr>
        <w:t>It gives access to what we could not previously see</w:t>
      </w:r>
      <w:r w:rsidR="005315BE">
        <w:rPr>
          <w:lang w:eastAsia="zh-CN"/>
        </w:rPr>
        <w:t>. A</w:t>
      </w:r>
      <w:r w:rsidR="00F718E7">
        <w:rPr>
          <w:lang w:eastAsia="zh-CN"/>
        </w:rPr>
        <w:t xml:space="preserve">nd so time </w:t>
      </w:r>
      <w:r>
        <w:rPr>
          <w:lang w:eastAsia="zh-CN"/>
        </w:rPr>
        <w:t xml:space="preserve">here is on the edge of </w:t>
      </w:r>
      <w:r w:rsidRPr="00FB4493">
        <w:rPr>
          <w:i/>
          <w:lang w:eastAsia="zh-CN"/>
        </w:rPr>
        <w:t>geological</w:t>
      </w:r>
      <w:r w:rsidR="00AC5691">
        <w:rPr>
          <w:lang w:eastAsia="zh-CN"/>
        </w:rPr>
        <w:t xml:space="preserve"> time, as</w:t>
      </w:r>
      <w:r>
        <w:rPr>
          <w:lang w:eastAsia="zh-CN"/>
        </w:rPr>
        <w:t xml:space="preserve"> it evokes landscapes of two million years ago when the human species was </w:t>
      </w:r>
      <w:proofErr w:type="gramStart"/>
      <w:r>
        <w:rPr>
          <w:lang w:eastAsia="zh-CN"/>
        </w:rPr>
        <w:t>forming  (</w:t>
      </w:r>
      <w:proofErr w:type="gramEnd"/>
      <w:r>
        <w:rPr>
          <w:lang w:eastAsia="zh-CN"/>
        </w:rPr>
        <w:t xml:space="preserve">evoking too the history of human traits which takes us back </w:t>
      </w:r>
      <w:r w:rsidR="00AC5691">
        <w:rPr>
          <w:lang w:eastAsia="zh-CN"/>
        </w:rPr>
        <w:t xml:space="preserve">more than seven million years </w:t>
      </w:r>
      <w:r>
        <w:rPr>
          <w:lang w:eastAsia="zh-CN"/>
        </w:rPr>
        <w:t xml:space="preserve">to shared ancestors with other primates). </w:t>
      </w:r>
      <w:r w:rsidR="00AC5691">
        <w:rPr>
          <w:lang w:eastAsia="zh-CN"/>
        </w:rPr>
        <w:t xml:space="preserve">One of the characteristics of the </w:t>
      </w:r>
      <w:r>
        <w:rPr>
          <w:lang w:eastAsia="zh-CN"/>
        </w:rPr>
        <w:t xml:space="preserve">new science </w:t>
      </w:r>
      <w:r w:rsidR="00AC5691">
        <w:rPr>
          <w:lang w:eastAsia="zh-CN"/>
        </w:rPr>
        <w:t xml:space="preserve">is that it teaches us to recognize </w:t>
      </w:r>
      <w:r>
        <w:rPr>
          <w:lang w:eastAsia="zh-CN"/>
        </w:rPr>
        <w:t>the presence of time within us, as an i</w:t>
      </w:r>
      <w:r w:rsidR="005315BE">
        <w:rPr>
          <w:lang w:eastAsia="zh-CN"/>
        </w:rPr>
        <w:t>ntegral part of who we are</w:t>
      </w:r>
      <w:r>
        <w:rPr>
          <w:lang w:eastAsia="zh-CN"/>
        </w:rPr>
        <w:t xml:space="preserve">, as modern genus </w:t>
      </w:r>
      <w:r w:rsidRPr="00F603B4">
        <w:rPr>
          <w:i/>
          <w:lang w:eastAsia="zh-CN"/>
        </w:rPr>
        <w:t>Homo</w:t>
      </w:r>
      <w:r>
        <w:rPr>
          <w:lang w:eastAsia="zh-CN"/>
        </w:rPr>
        <w:t>. An expanded dimension of time offers hither</w:t>
      </w:r>
      <w:r w:rsidR="00E37955">
        <w:rPr>
          <w:lang w:eastAsia="zh-CN"/>
        </w:rPr>
        <w:t>t</w:t>
      </w:r>
      <w:r>
        <w:rPr>
          <w:lang w:eastAsia="zh-CN"/>
        </w:rPr>
        <w:t>o unseen and unsuspected possibilities of learning</w:t>
      </w:r>
      <w:r w:rsidR="00E37955">
        <w:rPr>
          <w:lang w:eastAsia="zh-CN"/>
        </w:rPr>
        <w:t xml:space="preserve"> about our foundational humanity</w:t>
      </w:r>
      <w:r>
        <w:rPr>
          <w:lang w:eastAsia="zh-CN"/>
        </w:rPr>
        <w:t xml:space="preserve">. </w:t>
      </w:r>
    </w:p>
    <w:p w14:paraId="7FDA3BDB" w14:textId="5D080415" w:rsidR="00A02A4D" w:rsidRDefault="00A02A4D" w:rsidP="0026208B">
      <w:pPr>
        <w:rPr>
          <w:lang w:eastAsia="zh-CN"/>
        </w:rPr>
      </w:pPr>
      <w:r>
        <w:rPr>
          <w:lang w:eastAsia="zh-CN"/>
        </w:rPr>
        <w:tab/>
        <w:t>It is in this sense then that our scientific account re-c</w:t>
      </w:r>
      <w:r w:rsidR="008A5BEC">
        <w:rPr>
          <w:lang w:eastAsia="zh-CN"/>
        </w:rPr>
        <w:t xml:space="preserve">ontextualizes </w:t>
      </w:r>
      <w:proofErr w:type="spellStart"/>
      <w:r w:rsidR="008A5BEC">
        <w:rPr>
          <w:lang w:eastAsia="zh-CN"/>
        </w:rPr>
        <w:t>Prof.</w:t>
      </w:r>
      <w:proofErr w:type="spellEnd"/>
      <w:r w:rsidR="008A5BEC">
        <w:rPr>
          <w:lang w:eastAsia="zh-CN"/>
        </w:rPr>
        <w:t xml:space="preserve"> Yang’s project</w:t>
      </w:r>
      <w:r>
        <w:rPr>
          <w:lang w:eastAsia="zh-CN"/>
        </w:rPr>
        <w:t xml:space="preserve">. It offers a deeper temporal context for thinking about the principle that </w:t>
      </w:r>
      <w:r w:rsidRPr="0026208B">
        <w:rPr>
          <w:lang w:eastAsia="zh-CN"/>
        </w:rPr>
        <w:t>“</w:t>
      </w:r>
      <w:proofErr w:type="spellStart"/>
      <w:r w:rsidRPr="0026208B">
        <w:rPr>
          <w:i/>
          <w:lang w:eastAsia="zh-CN"/>
        </w:rPr>
        <w:t>Zhi</w:t>
      </w:r>
      <w:proofErr w:type="spellEnd"/>
      <w:r w:rsidRPr="0026208B">
        <w:rPr>
          <w:lang w:eastAsia="zh-CN"/>
        </w:rPr>
        <w:t>”</w:t>
      </w:r>
      <w:r>
        <w:rPr>
          <w:lang w:eastAsia="zh-CN"/>
        </w:rPr>
        <w:t xml:space="preserve"> and </w:t>
      </w:r>
      <w:r w:rsidRPr="0026208B">
        <w:rPr>
          <w:lang w:eastAsia="zh-CN"/>
        </w:rPr>
        <w:t>“</w:t>
      </w:r>
      <w:r w:rsidRPr="0026208B">
        <w:rPr>
          <w:i/>
          <w:lang w:eastAsia="zh-CN"/>
        </w:rPr>
        <w:t>Xing</w:t>
      </w:r>
      <w:r w:rsidRPr="0026208B">
        <w:rPr>
          <w:lang w:eastAsia="zh-CN"/>
        </w:rPr>
        <w:t>”</w:t>
      </w:r>
      <w:r>
        <w:rPr>
          <w:lang w:eastAsia="zh-CN"/>
        </w:rPr>
        <w:t xml:space="preserve"> are or can be one. </w:t>
      </w:r>
      <w:r w:rsidR="002B011A">
        <w:rPr>
          <w:lang w:eastAsia="zh-CN"/>
        </w:rPr>
        <w:t xml:space="preserve">The weight of evolutionary </w:t>
      </w:r>
      <w:r w:rsidR="000A436B">
        <w:rPr>
          <w:lang w:eastAsia="zh-CN"/>
        </w:rPr>
        <w:t xml:space="preserve">and neurological </w:t>
      </w:r>
      <w:r w:rsidR="002B011A">
        <w:rPr>
          <w:lang w:eastAsia="zh-CN"/>
        </w:rPr>
        <w:t>evidence is in favour. A scientific evaluation als</w:t>
      </w:r>
      <w:r w:rsidR="00A86ED7">
        <w:rPr>
          <w:lang w:eastAsia="zh-CN"/>
        </w:rPr>
        <w:t xml:space="preserve">o looks to the longevity of </w:t>
      </w:r>
      <w:r w:rsidR="002B011A">
        <w:rPr>
          <w:lang w:eastAsia="zh-CN"/>
        </w:rPr>
        <w:t>Chinese tradition</w:t>
      </w:r>
      <w:r w:rsidR="00A86ED7">
        <w:rPr>
          <w:lang w:eastAsia="zh-CN"/>
        </w:rPr>
        <w:t>s</w:t>
      </w:r>
      <w:r w:rsidR="002B011A">
        <w:rPr>
          <w:lang w:eastAsia="zh-CN"/>
        </w:rPr>
        <w:t xml:space="preserve"> as potential evidence for the view that </w:t>
      </w:r>
      <w:r w:rsidR="00A86ED7">
        <w:rPr>
          <w:lang w:eastAsia="zh-CN"/>
        </w:rPr>
        <w:t xml:space="preserve">they </w:t>
      </w:r>
      <w:r w:rsidR="000A436B">
        <w:rPr>
          <w:lang w:eastAsia="zh-CN"/>
        </w:rPr>
        <w:t xml:space="preserve">may be more </w:t>
      </w:r>
      <w:r w:rsidR="002B011A">
        <w:rPr>
          <w:lang w:eastAsia="zh-CN"/>
        </w:rPr>
        <w:t>deeply embedded in the human body</w:t>
      </w:r>
      <w:r w:rsidR="001B2F7D">
        <w:rPr>
          <w:lang w:eastAsia="zh-CN"/>
        </w:rPr>
        <w:t>,</w:t>
      </w:r>
      <w:r w:rsidR="002B011A">
        <w:rPr>
          <w:lang w:eastAsia="zh-CN"/>
        </w:rPr>
        <w:t xml:space="preserve"> and </w:t>
      </w:r>
      <w:r w:rsidR="00A86ED7">
        <w:rPr>
          <w:lang w:eastAsia="zh-CN"/>
        </w:rPr>
        <w:t xml:space="preserve">in </w:t>
      </w:r>
      <w:r w:rsidR="002B011A">
        <w:rPr>
          <w:lang w:eastAsia="zh-CN"/>
        </w:rPr>
        <w:t>its most innate forms of social bonding</w:t>
      </w:r>
      <w:r w:rsidR="000A436B">
        <w:rPr>
          <w:lang w:eastAsia="zh-CN"/>
        </w:rPr>
        <w:t>, than other less resilient forms of cultural identity</w:t>
      </w:r>
      <w:r w:rsidR="002B011A">
        <w:rPr>
          <w:lang w:eastAsia="zh-CN"/>
        </w:rPr>
        <w:t xml:space="preserve">. </w:t>
      </w:r>
      <w:r w:rsidR="001B2F7D">
        <w:rPr>
          <w:lang w:eastAsia="zh-CN"/>
        </w:rPr>
        <w:t xml:space="preserve">And here we </w:t>
      </w:r>
      <w:r w:rsidR="00B953AC">
        <w:rPr>
          <w:lang w:eastAsia="zh-CN"/>
        </w:rPr>
        <w:t xml:space="preserve">can make a comparison </w:t>
      </w:r>
      <w:r w:rsidR="002B011A">
        <w:rPr>
          <w:lang w:eastAsia="zh-CN"/>
        </w:rPr>
        <w:t xml:space="preserve">with technology. Good theoretical reasoning skilfully applied is evidenced in technology that works. </w:t>
      </w:r>
      <w:r w:rsidR="00B953AC">
        <w:rPr>
          <w:lang w:eastAsia="zh-CN"/>
        </w:rPr>
        <w:t xml:space="preserve">But in </w:t>
      </w:r>
      <w:r w:rsidR="002B011A">
        <w:rPr>
          <w:lang w:eastAsia="zh-CN"/>
        </w:rPr>
        <w:t xml:space="preserve">a parallel way, </w:t>
      </w:r>
      <w:r w:rsidR="00DE330A">
        <w:rPr>
          <w:lang w:eastAsia="zh-CN"/>
        </w:rPr>
        <w:t xml:space="preserve">viable human communities which have sustained themselves over millennia – our world religions come to mind – </w:t>
      </w:r>
      <w:r w:rsidR="001B2F7D">
        <w:rPr>
          <w:lang w:eastAsia="zh-CN"/>
        </w:rPr>
        <w:t xml:space="preserve">can be taken </w:t>
      </w:r>
      <w:r w:rsidR="00025357">
        <w:rPr>
          <w:lang w:eastAsia="zh-CN"/>
        </w:rPr>
        <w:t xml:space="preserve">as </w:t>
      </w:r>
      <w:r w:rsidR="00DE330A">
        <w:rPr>
          <w:lang w:eastAsia="zh-CN"/>
        </w:rPr>
        <w:t xml:space="preserve">evidence </w:t>
      </w:r>
      <w:r w:rsidR="001B2F7D">
        <w:rPr>
          <w:lang w:eastAsia="zh-CN"/>
        </w:rPr>
        <w:t xml:space="preserve">that </w:t>
      </w:r>
      <w:r w:rsidR="00025357">
        <w:rPr>
          <w:lang w:eastAsia="zh-CN"/>
        </w:rPr>
        <w:t xml:space="preserve">skilful </w:t>
      </w:r>
      <w:r w:rsidR="00DE330A">
        <w:rPr>
          <w:lang w:eastAsia="zh-CN"/>
        </w:rPr>
        <w:t>social reasoning</w:t>
      </w:r>
      <w:r w:rsidR="001B2F7D">
        <w:rPr>
          <w:lang w:eastAsia="zh-CN"/>
        </w:rPr>
        <w:t xml:space="preserve"> has been </w:t>
      </w:r>
      <w:r w:rsidR="00DE330A">
        <w:rPr>
          <w:lang w:eastAsia="zh-CN"/>
        </w:rPr>
        <w:t xml:space="preserve">practiced </w:t>
      </w:r>
      <w:r w:rsidR="008A5BEC">
        <w:rPr>
          <w:lang w:eastAsia="zh-CN"/>
        </w:rPr>
        <w:t xml:space="preserve">countless times, in concrete contexts </w:t>
      </w:r>
      <w:r w:rsidR="00DE330A">
        <w:rPr>
          <w:lang w:eastAsia="zh-CN"/>
        </w:rPr>
        <w:t xml:space="preserve">of </w:t>
      </w:r>
      <w:r w:rsidR="001B2F7D">
        <w:rPr>
          <w:lang w:eastAsia="zh-CN"/>
        </w:rPr>
        <w:t xml:space="preserve">social </w:t>
      </w:r>
      <w:r w:rsidR="00DE330A">
        <w:rPr>
          <w:lang w:eastAsia="zh-CN"/>
        </w:rPr>
        <w:t>particularity.</w:t>
      </w:r>
    </w:p>
    <w:p w14:paraId="56287D94" w14:textId="03B0D22E" w:rsidR="0026208B" w:rsidRDefault="009A6D44" w:rsidP="00CB2DCC">
      <w:pPr>
        <w:rPr>
          <w:lang w:eastAsia="zh-CN"/>
        </w:rPr>
      </w:pPr>
      <w:r>
        <w:rPr>
          <w:lang w:eastAsia="zh-CN"/>
        </w:rPr>
        <w:tab/>
        <w:t xml:space="preserve">In short then, </w:t>
      </w:r>
      <w:proofErr w:type="spellStart"/>
      <w:r>
        <w:rPr>
          <w:lang w:eastAsia="zh-CN"/>
        </w:rPr>
        <w:t>Prof.</w:t>
      </w:r>
      <w:proofErr w:type="spellEnd"/>
      <w:r>
        <w:rPr>
          <w:lang w:eastAsia="zh-CN"/>
        </w:rPr>
        <w:t xml:space="preserve"> Yang</w:t>
      </w:r>
      <w:r w:rsidR="008A5BEC">
        <w:rPr>
          <w:lang w:eastAsia="zh-CN"/>
        </w:rPr>
        <w:t xml:space="preserve">, with his </w:t>
      </w:r>
      <w:r w:rsidR="000F2996">
        <w:rPr>
          <w:lang w:eastAsia="zh-CN"/>
        </w:rPr>
        <w:t xml:space="preserve">subtle </w:t>
      </w:r>
      <w:r w:rsidR="008A5BEC">
        <w:rPr>
          <w:lang w:eastAsia="zh-CN"/>
        </w:rPr>
        <w:t xml:space="preserve">project of </w:t>
      </w:r>
      <w:r w:rsidR="000F2996">
        <w:rPr>
          <w:lang w:eastAsia="zh-CN"/>
        </w:rPr>
        <w:t xml:space="preserve">deepening </w:t>
      </w:r>
      <w:r>
        <w:rPr>
          <w:lang w:eastAsia="zh-CN"/>
        </w:rPr>
        <w:t xml:space="preserve">historical and hermeneutical </w:t>
      </w:r>
      <w:r w:rsidR="008A5BEC">
        <w:rPr>
          <w:lang w:eastAsia="zh-CN"/>
        </w:rPr>
        <w:t>reflections on perspective</w:t>
      </w:r>
      <w:r w:rsidR="00431433">
        <w:rPr>
          <w:lang w:eastAsia="zh-CN"/>
        </w:rPr>
        <w:t xml:space="preserve">, </w:t>
      </w:r>
      <w:r w:rsidR="000F2996">
        <w:rPr>
          <w:lang w:eastAsia="zh-CN"/>
        </w:rPr>
        <w:t xml:space="preserve">in </w:t>
      </w:r>
      <w:r w:rsidR="00B953AC">
        <w:rPr>
          <w:lang w:eastAsia="zh-CN"/>
        </w:rPr>
        <w:t xml:space="preserve">response to the needs of our own day, may </w:t>
      </w:r>
      <w:r w:rsidR="00936872">
        <w:rPr>
          <w:lang w:eastAsia="zh-CN"/>
        </w:rPr>
        <w:t xml:space="preserve">nevertheless </w:t>
      </w:r>
      <w:r>
        <w:rPr>
          <w:lang w:eastAsia="zh-CN"/>
        </w:rPr>
        <w:t>ha</w:t>
      </w:r>
      <w:r w:rsidR="00B953AC">
        <w:rPr>
          <w:lang w:eastAsia="zh-CN"/>
        </w:rPr>
        <w:t xml:space="preserve">ve </w:t>
      </w:r>
      <w:r w:rsidR="008A5BEC">
        <w:rPr>
          <w:lang w:eastAsia="zh-CN"/>
        </w:rPr>
        <w:t xml:space="preserve">time on his </w:t>
      </w:r>
      <w:r>
        <w:rPr>
          <w:lang w:eastAsia="zh-CN"/>
        </w:rPr>
        <w:t xml:space="preserve">side. </w:t>
      </w:r>
    </w:p>
    <w:p w14:paraId="6A668967" w14:textId="77777777" w:rsidR="0026208B" w:rsidRDefault="0026208B" w:rsidP="00CB2DCC">
      <w:pPr>
        <w:rPr>
          <w:lang w:eastAsia="zh-CN"/>
        </w:rPr>
      </w:pPr>
    </w:p>
    <w:p w14:paraId="7AB2312C" w14:textId="11F19B2C" w:rsidR="0026208B" w:rsidRDefault="00775912" w:rsidP="00CB2DCC">
      <w:pPr>
        <w:rPr>
          <w:lang w:eastAsia="zh-CN"/>
        </w:rPr>
      </w:pPr>
      <w:r>
        <w:rPr>
          <w:lang w:eastAsia="zh-CN"/>
        </w:rPr>
        <w:t>Oliver Davies</w:t>
      </w:r>
    </w:p>
    <w:p w14:paraId="605758AC" w14:textId="6D5B24E2" w:rsidR="00775912" w:rsidRDefault="00775912" w:rsidP="00CB2DCC">
      <w:pPr>
        <w:rPr>
          <w:lang w:eastAsia="zh-CN"/>
        </w:rPr>
      </w:pPr>
      <w:r>
        <w:rPr>
          <w:lang w:eastAsia="zh-CN"/>
        </w:rPr>
        <w:t>International Professor in Philosophy, Ethics and Religion</w:t>
      </w:r>
    </w:p>
    <w:p w14:paraId="7CDAB4E8" w14:textId="5CA2F500" w:rsidR="00775912" w:rsidRDefault="00775912" w:rsidP="00CB2DCC">
      <w:pPr>
        <w:rPr>
          <w:lang w:eastAsia="zh-CN"/>
        </w:rPr>
      </w:pPr>
      <w:r>
        <w:rPr>
          <w:lang w:eastAsia="zh-CN"/>
        </w:rPr>
        <w:t xml:space="preserve">School of Philosophy, </w:t>
      </w:r>
      <w:proofErr w:type="spellStart"/>
      <w:r>
        <w:rPr>
          <w:lang w:eastAsia="zh-CN"/>
        </w:rPr>
        <w:t>Renmin</w:t>
      </w:r>
      <w:proofErr w:type="spellEnd"/>
      <w:r>
        <w:rPr>
          <w:lang w:eastAsia="zh-CN"/>
        </w:rPr>
        <w:t xml:space="preserve"> University of China, Beijing</w:t>
      </w:r>
    </w:p>
    <w:p w14:paraId="5BD83517" w14:textId="579E5370" w:rsidR="00235EF3" w:rsidRDefault="00235EF3">
      <w:r>
        <w:t xml:space="preserve"> </w:t>
      </w:r>
    </w:p>
    <w:sectPr w:rsidR="00235EF3" w:rsidSect="009D4538">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74634" w14:textId="77777777" w:rsidR="00162793" w:rsidRDefault="00162793" w:rsidP="00F17002">
      <w:r>
        <w:separator/>
      </w:r>
    </w:p>
  </w:endnote>
  <w:endnote w:type="continuationSeparator" w:id="0">
    <w:p w14:paraId="744E257B" w14:textId="77777777" w:rsidR="00162793" w:rsidRDefault="00162793" w:rsidP="00F1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E9210" w14:textId="77777777" w:rsidR="00F603B4" w:rsidRDefault="00F603B4" w:rsidP="00E90A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B2C078" w14:textId="77777777" w:rsidR="00F603B4" w:rsidRDefault="00F603B4" w:rsidP="002043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7C5A4" w14:textId="77777777" w:rsidR="00F603B4" w:rsidRDefault="00F603B4" w:rsidP="00E90A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66B">
      <w:rPr>
        <w:rStyle w:val="PageNumber"/>
        <w:noProof/>
      </w:rPr>
      <w:t>1</w:t>
    </w:r>
    <w:r>
      <w:rPr>
        <w:rStyle w:val="PageNumber"/>
      </w:rPr>
      <w:fldChar w:fldCharType="end"/>
    </w:r>
  </w:p>
  <w:p w14:paraId="258B36F3" w14:textId="77777777" w:rsidR="00F603B4" w:rsidRDefault="00F603B4" w:rsidP="002043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F244E" w14:textId="77777777" w:rsidR="00162793" w:rsidRDefault="00162793" w:rsidP="00F17002">
      <w:r>
        <w:separator/>
      </w:r>
    </w:p>
  </w:footnote>
  <w:footnote w:type="continuationSeparator" w:id="0">
    <w:p w14:paraId="1C371B70" w14:textId="77777777" w:rsidR="00162793" w:rsidRDefault="00162793" w:rsidP="00F17002">
      <w:r>
        <w:continuationSeparator/>
      </w:r>
    </w:p>
  </w:footnote>
  <w:footnote w:id="1">
    <w:p w14:paraId="61179FD7" w14:textId="7BA20B80" w:rsidR="00F603B4" w:rsidRDefault="00F603B4">
      <w:pPr>
        <w:pStyle w:val="FootnoteText"/>
      </w:pPr>
      <w:r>
        <w:rPr>
          <w:rStyle w:val="FootnoteReference"/>
        </w:rPr>
        <w:footnoteRef/>
      </w:r>
      <w:r>
        <w:t xml:space="preserve"> Yang </w:t>
      </w:r>
      <w:proofErr w:type="spellStart"/>
      <w:r>
        <w:t>Huilin</w:t>
      </w:r>
      <w:proofErr w:type="spellEnd"/>
      <w:r>
        <w:t>, “</w:t>
      </w:r>
      <w:r w:rsidRPr="00517CA6">
        <w:rPr>
          <w:lang w:eastAsia="zh-CN"/>
        </w:rPr>
        <w:t>Matteo Ricci and Michel Foucault’s Reading of Epictetus:  A Quest of ‘</w:t>
      </w:r>
      <w:proofErr w:type="spellStart"/>
      <w:r w:rsidRPr="00517CA6">
        <w:rPr>
          <w:i/>
          <w:lang w:eastAsia="zh-CN"/>
        </w:rPr>
        <w:t>Zhi</w:t>
      </w:r>
      <w:proofErr w:type="spellEnd"/>
      <w:r w:rsidRPr="00517CA6">
        <w:rPr>
          <w:lang w:eastAsia="zh-CN"/>
        </w:rPr>
        <w:t>’ (知Knowing) and ‘</w:t>
      </w:r>
      <w:r w:rsidRPr="00517CA6">
        <w:rPr>
          <w:i/>
          <w:lang w:eastAsia="zh-CN"/>
        </w:rPr>
        <w:t>Xing</w:t>
      </w:r>
      <w:r w:rsidRPr="00517CA6">
        <w:rPr>
          <w:lang w:eastAsia="zh-CN"/>
        </w:rPr>
        <w:t>’ (行Application)</w:t>
      </w:r>
      <w:r>
        <w:rPr>
          <w:lang w:eastAsia="zh-CN"/>
        </w:rPr>
        <w:t>”, JSCC, 00.</w:t>
      </w:r>
    </w:p>
  </w:footnote>
  <w:footnote w:id="2">
    <w:p w14:paraId="1B7DB39F" w14:textId="02E78C26" w:rsidR="00F603B4" w:rsidRDefault="00F603B4">
      <w:pPr>
        <w:pStyle w:val="FootnoteText"/>
      </w:pPr>
      <w:r>
        <w:rPr>
          <w:rStyle w:val="FootnoteReference"/>
        </w:rPr>
        <w:footnoteRef/>
      </w:r>
      <w:r>
        <w:t xml:space="preserve"> </w:t>
      </w:r>
      <w:r>
        <w:rPr>
          <w:rFonts w:hint="eastAsia"/>
          <w:lang w:eastAsia="zh-CN"/>
        </w:rPr>
        <w:t xml:space="preserve">Michel Foucault, </w:t>
      </w:r>
      <w:r w:rsidRPr="0063688D">
        <w:rPr>
          <w:rFonts w:hint="eastAsia"/>
          <w:i/>
          <w:lang w:eastAsia="zh-CN"/>
        </w:rPr>
        <w:t xml:space="preserve">The Hermeneutics of the Subject: Lectures at the </w:t>
      </w:r>
      <w:proofErr w:type="spellStart"/>
      <w:r w:rsidRPr="0063688D">
        <w:rPr>
          <w:rFonts w:hint="eastAsia"/>
          <w:i/>
          <w:lang w:eastAsia="zh-CN"/>
        </w:rPr>
        <w:t>Coll</w:t>
      </w:r>
      <w:r w:rsidRPr="0063688D">
        <w:rPr>
          <w:i/>
          <w:lang w:eastAsia="zh-CN"/>
        </w:rPr>
        <w:t>è</w:t>
      </w:r>
      <w:r w:rsidRPr="0063688D">
        <w:rPr>
          <w:rFonts w:hint="eastAsia"/>
          <w:i/>
          <w:lang w:eastAsia="zh-CN"/>
        </w:rPr>
        <w:t>ge</w:t>
      </w:r>
      <w:proofErr w:type="spellEnd"/>
      <w:r w:rsidRPr="0063688D">
        <w:rPr>
          <w:rFonts w:hint="eastAsia"/>
          <w:i/>
          <w:lang w:eastAsia="zh-CN"/>
        </w:rPr>
        <w:t xml:space="preserve"> de France</w:t>
      </w:r>
      <w:r>
        <w:rPr>
          <w:rFonts w:hint="eastAsia"/>
          <w:lang w:eastAsia="zh-CN"/>
        </w:rPr>
        <w:t xml:space="preserve">, ed. </w:t>
      </w:r>
      <w:proofErr w:type="spellStart"/>
      <w:r>
        <w:rPr>
          <w:rFonts w:hint="eastAsia"/>
          <w:lang w:eastAsia="zh-CN"/>
        </w:rPr>
        <w:t>Fr</w:t>
      </w:r>
      <w:r>
        <w:rPr>
          <w:lang w:eastAsia="zh-CN"/>
        </w:rPr>
        <w:t>é</w:t>
      </w:r>
      <w:r>
        <w:rPr>
          <w:rFonts w:hint="eastAsia"/>
          <w:lang w:eastAsia="zh-CN"/>
        </w:rPr>
        <w:t>d</w:t>
      </w:r>
      <w:r>
        <w:rPr>
          <w:rFonts w:ascii="Calibri" w:hAnsi="Calibri"/>
          <w:lang w:eastAsia="zh-CN"/>
        </w:rPr>
        <w:t>é</w:t>
      </w:r>
      <w:r>
        <w:rPr>
          <w:rFonts w:hint="eastAsia"/>
          <w:lang w:eastAsia="zh-CN"/>
        </w:rPr>
        <w:t>ric</w:t>
      </w:r>
      <w:proofErr w:type="spellEnd"/>
      <w:r>
        <w:rPr>
          <w:rFonts w:hint="eastAsia"/>
          <w:lang w:eastAsia="zh-CN"/>
        </w:rPr>
        <w:t xml:space="preserve"> </w:t>
      </w:r>
      <w:proofErr w:type="spellStart"/>
      <w:r>
        <w:rPr>
          <w:rFonts w:hint="eastAsia"/>
          <w:lang w:eastAsia="zh-CN"/>
        </w:rPr>
        <w:t>Gros</w:t>
      </w:r>
      <w:proofErr w:type="spellEnd"/>
      <w:r>
        <w:rPr>
          <w:rFonts w:hint="eastAsia"/>
          <w:lang w:eastAsia="zh-CN"/>
        </w:rPr>
        <w:t xml:space="preserve">, trans. Graham </w:t>
      </w:r>
      <w:proofErr w:type="spellStart"/>
      <w:r>
        <w:rPr>
          <w:rFonts w:hint="eastAsia"/>
          <w:lang w:eastAsia="zh-CN"/>
        </w:rPr>
        <w:t>Burchell</w:t>
      </w:r>
      <w:proofErr w:type="spellEnd"/>
      <w:r>
        <w:rPr>
          <w:rFonts w:hint="eastAsia"/>
          <w:lang w:eastAsia="zh-CN"/>
        </w:rPr>
        <w:t xml:space="preserve"> (New York: Palgrave Macmillan, 2005), </w:t>
      </w:r>
      <w:r>
        <w:rPr>
          <w:lang w:eastAsia="zh-CN"/>
        </w:rPr>
        <w:t>9, 299.</w:t>
      </w:r>
    </w:p>
  </w:footnote>
  <w:footnote w:id="3">
    <w:p w14:paraId="05FE7138" w14:textId="393A85AB" w:rsidR="00F603B4" w:rsidRDefault="00F603B4">
      <w:pPr>
        <w:pStyle w:val="FootnoteText"/>
      </w:pPr>
      <w:r>
        <w:rPr>
          <w:rStyle w:val="FootnoteReference"/>
        </w:rPr>
        <w:footnoteRef/>
      </w:r>
      <w:r>
        <w:t xml:space="preserve"> Michel Foucault, </w:t>
      </w:r>
      <w:r w:rsidRPr="00C2513C">
        <w:rPr>
          <w:i/>
        </w:rPr>
        <w:t>The Hermeneutics of the Subject</w:t>
      </w:r>
      <w:r>
        <w:t>, 18-19.</w:t>
      </w:r>
    </w:p>
  </w:footnote>
  <w:footnote w:id="4">
    <w:p w14:paraId="79684ED2" w14:textId="711252E1" w:rsidR="000C5D36" w:rsidRDefault="000C5D36">
      <w:pPr>
        <w:pStyle w:val="FootnoteText"/>
      </w:pPr>
      <w:r>
        <w:rPr>
          <w:rStyle w:val="FootnoteReference"/>
        </w:rPr>
        <w:footnoteRef/>
      </w:r>
      <w:r>
        <w:t xml:space="preserve"> Yang, “</w:t>
      </w:r>
      <w:r w:rsidRPr="00517CA6">
        <w:rPr>
          <w:lang w:eastAsia="zh-CN"/>
        </w:rPr>
        <w:t>Matteo Ricci and Michel Foucault’s Reading of Epictetus</w:t>
      </w:r>
      <w:r>
        <w:rPr>
          <w:lang w:eastAsia="zh-CN"/>
        </w:rPr>
        <w:t>”, 00</w:t>
      </w:r>
    </w:p>
  </w:footnote>
  <w:footnote w:id="5">
    <w:p w14:paraId="258D86AA" w14:textId="48A0F9FE" w:rsidR="00F603B4" w:rsidRPr="001316A4" w:rsidRDefault="00F603B4">
      <w:pPr>
        <w:pStyle w:val="FootnoteText"/>
      </w:pPr>
      <w:r>
        <w:rPr>
          <w:rStyle w:val="FootnoteReference"/>
        </w:rPr>
        <w:footnoteRef/>
      </w:r>
      <w:r>
        <w:t xml:space="preserve"> Kristofer </w:t>
      </w:r>
      <w:proofErr w:type="spellStart"/>
      <w:r>
        <w:t>Schipper</w:t>
      </w:r>
      <w:proofErr w:type="spellEnd"/>
      <w:r>
        <w:t xml:space="preserve"> refers to this dynamic of “return” with the term “involution” in his study </w:t>
      </w:r>
      <w:r w:rsidRPr="001316A4">
        <w:rPr>
          <w:i/>
        </w:rPr>
        <w:t>The Taoist Body</w:t>
      </w:r>
      <w:r>
        <w:t xml:space="preserve"> (Berkley, University of California Press, 1993), 158. He links it with the notion of “sacrifice”.</w:t>
      </w:r>
    </w:p>
  </w:footnote>
  <w:footnote w:id="6">
    <w:p w14:paraId="32149AFE" w14:textId="13EDE5AD" w:rsidR="00F603B4" w:rsidRDefault="00F603B4" w:rsidP="006C1D9C">
      <w:pPr>
        <w:widowControl w:val="0"/>
        <w:autoSpaceDE w:val="0"/>
        <w:autoSpaceDN w:val="0"/>
        <w:adjustRightInd w:val="0"/>
      </w:pPr>
      <w:r>
        <w:rPr>
          <w:rStyle w:val="FootnoteReference"/>
        </w:rPr>
        <w:footnoteRef/>
      </w:r>
      <w:r>
        <w:t xml:space="preserve"> Imman</w:t>
      </w:r>
      <w:r w:rsidRPr="00336316">
        <w:t xml:space="preserve">uel Kant, </w:t>
      </w:r>
      <w:r w:rsidRPr="00336316">
        <w:rPr>
          <w:rFonts w:cs="Helvetica"/>
          <w:i/>
          <w:iCs/>
        </w:rPr>
        <w:t>Anthropology from a pragmatic point of view</w:t>
      </w:r>
      <w:r w:rsidRPr="00336316">
        <w:rPr>
          <w:rFonts w:cs="Helvetica"/>
        </w:rPr>
        <w:t xml:space="preserve"> (Cambridge: Cambridge University Press 2006).</w:t>
      </w:r>
      <w:r>
        <w:rPr>
          <w:rFonts w:cs="Helvetica"/>
        </w:rPr>
        <w:t xml:space="preserve"> See also Michel </w:t>
      </w:r>
      <w:r w:rsidRPr="00336316">
        <w:rPr>
          <w:rFonts w:cs="Helvetica"/>
        </w:rPr>
        <w:t xml:space="preserve">Foucault, </w:t>
      </w:r>
      <w:r w:rsidRPr="00336316">
        <w:rPr>
          <w:rFonts w:cs="Helvetica"/>
          <w:i/>
          <w:iCs/>
        </w:rPr>
        <w:t>Introduction to Kant's Anthropology</w:t>
      </w:r>
      <w:r>
        <w:rPr>
          <w:rFonts w:cs="Helvetica"/>
        </w:rPr>
        <w:t xml:space="preserve"> (Los Angeles CA: </w:t>
      </w:r>
      <w:proofErr w:type="spellStart"/>
      <w:r>
        <w:rPr>
          <w:rFonts w:cs="Helvetica"/>
        </w:rPr>
        <w:t>Semiotext</w:t>
      </w:r>
      <w:proofErr w:type="spellEnd"/>
      <w:r>
        <w:rPr>
          <w:rFonts w:cs="Helvetica"/>
        </w:rPr>
        <w:t xml:space="preserve">(e), 2008). This was the first French translation of Kant’s text. For the Romantic influence, see also </w:t>
      </w:r>
      <w:r w:rsidRPr="00336316">
        <w:rPr>
          <w:rFonts w:cs="Helvetica"/>
        </w:rPr>
        <w:t xml:space="preserve">Michael N. </w:t>
      </w:r>
      <w:r w:rsidR="00D66EA8">
        <w:rPr>
          <w:rFonts w:cs="Helvetica"/>
        </w:rPr>
        <w:t xml:space="preserve">Forster, </w:t>
      </w:r>
      <w:r w:rsidRPr="00336316">
        <w:rPr>
          <w:rFonts w:cs="Helvetica"/>
        </w:rPr>
        <w:t xml:space="preserve">‘Kant's Philosophy of Language’, </w:t>
      </w:r>
      <w:proofErr w:type="spellStart"/>
      <w:r w:rsidRPr="00336316">
        <w:rPr>
          <w:rFonts w:cs="Helvetica"/>
          <w:i/>
          <w:iCs/>
        </w:rPr>
        <w:t>Tijdschrift</w:t>
      </w:r>
      <w:proofErr w:type="spellEnd"/>
      <w:r w:rsidRPr="00336316">
        <w:rPr>
          <w:rFonts w:cs="Helvetica"/>
          <w:i/>
          <w:iCs/>
        </w:rPr>
        <w:t xml:space="preserve"> </w:t>
      </w:r>
      <w:proofErr w:type="spellStart"/>
      <w:r w:rsidRPr="00336316">
        <w:rPr>
          <w:rFonts w:cs="Helvetica"/>
          <w:i/>
          <w:iCs/>
        </w:rPr>
        <w:t>voor</w:t>
      </w:r>
      <w:proofErr w:type="spellEnd"/>
      <w:r w:rsidRPr="00336316">
        <w:rPr>
          <w:rFonts w:cs="Helvetica"/>
          <w:i/>
          <w:iCs/>
        </w:rPr>
        <w:t xml:space="preserve"> </w:t>
      </w:r>
      <w:proofErr w:type="spellStart"/>
      <w:r w:rsidRPr="00336316">
        <w:rPr>
          <w:rFonts w:cs="Helvetica"/>
          <w:i/>
          <w:iCs/>
        </w:rPr>
        <w:t>Filosophie</w:t>
      </w:r>
      <w:proofErr w:type="spellEnd"/>
      <w:r w:rsidRPr="00336316">
        <w:rPr>
          <w:rFonts w:cs="Helvetica"/>
          <w:i/>
          <w:iCs/>
        </w:rPr>
        <w:t>, 74</w:t>
      </w:r>
      <w:r w:rsidRPr="00336316">
        <w:rPr>
          <w:rFonts w:cs="Helvetica"/>
        </w:rPr>
        <w:t>, 2012), 485-511.</w:t>
      </w:r>
      <w:r>
        <w:rPr>
          <w:rFonts w:ascii="Helvetica" w:hAnsi="Helvetica" w:cs="Helvetica"/>
        </w:rPr>
        <w:t xml:space="preserve"> </w:t>
      </w:r>
    </w:p>
  </w:footnote>
  <w:footnote w:id="7">
    <w:p w14:paraId="47422AC0" w14:textId="25DDE5F3" w:rsidR="00F603B4" w:rsidRDefault="00F603B4">
      <w:pPr>
        <w:pStyle w:val="FootnoteText"/>
      </w:pPr>
      <w:r>
        <w:rPr>
          <w:rStyle w:val="FootnoteReference"/>
        </w:rPr>
        <w:footnoteRef/>
      </w:r>
      <w:r>
        <w:t xml:space="preserve"> Yang, “</w:t>
      </w:r>
      <w:r w:rsidRPr="00517CA6">
        <w:rPr>
          <w:lang w:eastAsia="zh-CN"/>
        </w:rPr>
        <w:t>Matteo Ricci and Michel Foucault’s Reading of Epictetus</w:t>
      </w:r>
      <w:r>
        <w:rPr>
          <w:lang w:eastAsia="zh-CN"/>
        </w:rPr>
        <w:t>”, 00</w:t>
      </w:r>
    </w:p>
  </w:footnote>
  <w:footnote w:id="8">
    <w:p w14:paraId="236AD0CE" w14:textId="5B27720D" w:rsidR="00F603B4" w:rsidRDefault="00F603B4">
      <w:pPr>
        <w:pStyle w:val="FootnoteText"/>
      </w:pPr>
      <w:r>
        <w:rPr>
          <w:rStyle w:val="FootnoteReference"/>
        </w:rPr>
        <w:footnoteRef/>
      </w:r>
      <w:r>
        <w:t xml:space="preserve"> Yang, “</w:t>
      </w:r>
      <w:r w:rsidRPr="00517CA6">
        <w:rPr>
          <w:lang w:eastAsia="zh-CN"/>
        </w:rPr>
        <w:t>Matteo Ricci and Michel Foucault’s Reading of Epictetus</w:t>
      </w:r>
      <w:r>
        <w:rPr>
          <w:lang w:eastAsia="zh-CN"/>
        </w:rPr>
        <w:t>”, 00</w:t>
      </w:r>
    </w:p>
  </w:footnote>
  <w:footnote w:id="9">
    <w:p w14:paraId="1C3204AB" w14:textId="201D22E6" w:rsidR="00F603B4" w:rsidRDefault="00F603B4" w:rsidP="00B71FD6">
      <w:pPr>
        <w:widowControl w:val="0"/>
        <w:autoSpaceDE w:val="0"/>
        <w:autoSpaceDN w:val="0"/>
        <w:adjustRightInd w:val="0"/>
      </w:pPr>
      <w:r>
        <w:rPr>
          <w:rStyle w:val="FootnoteReference"/>
        </w:rPr>
        <w:footnoteRef/>
      </w:r>
      <w:r>
        <w:t xml:space="preserve"> </w:t>
      </w:r>
      <w:r w:rsidRPr="00B71FD6">
        <w:t xml:space="preserve">A good introduction to “joint attention” is </w:t>
      </w:r>
      <w:r w:rsidR="00505860">
        <w:t xml:space="preserve">Peter </w:t>
      </w:r>
      <w:r w:rsidRPr="00B71FD6">
        <w:rPr>
          <w:rFonts w:cs="Helvetica"/>
        </w:rPr>
        <w:t>Mundy</w:t>
      </w:r>
      <w:r w:rsidR="00505860">
        <w:rPr>
          <w:rFonts w:cs="Helvetica"/>
        </w:rPr>
        <w:t xml:space="preserve"> and Lisa </w:t>
      </w:r>
      <w:r w:rsidRPr="00B71FD6">
        <w:rPr>
          <w:rFonts w:cs="Helvetica"/>
        </w:rPr>
        <w:t>Newell,</w:t>
      </w:r>
      <w:r w:rsidR="00505860">
        <w:rPr>
          <w:rFonts w:cs="Helvetica"/>
        </w:rPr>
        <w:t xml:space="preserve"> </w:t>
      </w:r>
      <w:r w:rsidRPr="00B71FD6">
        <w:rPr>
          <w:rFonts w:cs="Helvetica"/>
        </w:rPr>
        <w:t xml:space="preserve">‘Attention, Joint Attention, and Social Cognition’, </w:t>
      </w:r>
      <w:r w:rsidRPr="00B71FD6">
        <w:rPr>
          <w:rFonts w:cs="Helvetica"/>
          <w:i/>
          <w:iCs/>
        </w:rPr>
        <w:t xml:space="preserve">Current directions in psychological science, </w:t>
      </w:r>
      <w:r w:rsidR="00505860">
        <w:rPr>
          <w:rFonts w:cs="Helvetica"/>
          <w:iCs/>
        </w:rPr>
        <w:t xml:space="preserve">2007, </w:t>
      </w:r>
      <w:r w:rsidRPr="00505860">
        <w:rPr>
          <w:rFonts w:cs="Helvetica"/>
          <w:iCs/>
        </w:rPr>
        <w:t>16</w:t>
      </w:r>
      <w:r w:rsidR="00505860" w:rsidRPr="00505860">
        <w:rPr>
          <w:rFonts w:cs="Helvetica"/>
        </w:rPr>
        <w:t>:</w:t>
      </w:r>
      <w:r w:rsidR="00505860">
        <w:rPr>
          <w:rFonts w:cs="Helvetica"/>
        </w:rPr>
        <w:t xml:space="preserve"> 269-</w:t>
      </w:r>
      <w:r w:rsidRPr="00B71FD6">
        <w:rPr>
          <w:rFonts w:cs="Helvetica"/>
        </w:rPr>
        <w:t xml:space="preserve">74. See also </w:t>
      </w:r>
      <w:r w:rsidR="00D66EA8">
        <w:rPr>
          <w:rFonts w:cs="Helvetica"/>
        </w:rPr>
        <w:t xml:space="preserve">Naomi </w:t>
      </w:r>
      <w:proofErr w:type="spellStart"/>
      <w:r w:rsidRPr="00B71FD6">
        <w:rPr>
          <w:rFonts w:cs="Helvetica"/>
        </w:rPr>
        <w:t>Eilan</w:t>
      </w:r>
      <w:proofErr w:type="spellEnd"/>
      <w:r w:rsidRPr="00B71FD6">
        <w:rPr>
          <w:rFonts w:cs="Helvetica"/>
        </w:rPr>
        <w:t xml:space="preserve">, </w:t>
      </w:r>
      <w:r w:rsidR="00D66EA8">
        <w:rPr>
          <w:rFonts w:cs="Helvetica"/>
        </w:rPr>
        <w:t xml:space="preserve">Christoph </w:t>
      </w:r>
      <w:proofErr w:type="spellStart"/>
      <w:r w:rsidR="00D66EA8">
        <w:rPr>
          <w:rFonts w:cs="Helvetica"/>
        </w:rPr>
        <w:t>Hoerl</w:t>
      </w:r>
      <w:proofErr w:type="spellEnd"/>
      <w:r w:rsidR="00D66EA8">
        <w:rPr>
          <w:rFonts w:cs="Helvetica"/>
        </w:rPr>
        <w:t xml:space="preserve">, Teresa McCormack and Johannes </w:t>
      </w:r>
      <w:proofErr w:type="spellStart"/>
      <w:r>
        <w:rPr>
          <w:rFonts w:cs="Helvetica"/>
        </w:rPr>
        <w:t>Roessler</w:t>
      </w:r>
      <w:proofErr w:type="spellEnd"/>
      <w:r>
        <w:rPr>
          <w:rFonts w:cs="Helvetica"/>
        </w:rPr>
        <w:t xml:space="preserve">, eds., </w:t>
      </w:r>
      <w:r w:rsidRPr="00B71FD6">
        <w:rPr>
          <w:rFonts w:cs="Helvetica"/>
          <w:i/>
          <w:iCs/>
        </w:rPr>
        <w:t>Joint Attention: Communication and Other Minds: Issues in Philosophy and Psychology</w:t>
      </w:r>
      <w:r>
        <w:rPr>
          <w:rFonts w:cs="Helvetica"/>
        </w:rPr>
        <w:t xml:space="preserve"> (</w:t>
      </w:r>
      <w:r w:rsidRPr="00B71FD6">
        <w:rPr>
          <w:rFonts w:cs="Helvetica"/>
        </w:rPr>
        <w:t>Oxford: Clarendon Press</w:t>
      </w:r>
      <w:r>
        <w:rPr>
          <w:rFonts w:cs="Helvetica"/>
        </w:rPr>
        <w:t>, 2005)</w:t>
      </w:r>
      <w:r w:rsidRPr="00B71FD6">
        <w:rPr>
          <w:rFonts w:cs="Helvetica"/>
        </w:rPr>
        <w:t>.</w:t>
      </w:r>
    </w:p>
  </w:footnote>
  <w:footnote w:id="10">
    <w:p w14:paraId="081FB4A8" w14:textId="57A27E7B" w:rsidR="00F603B4" w:rsidRDefault="00F603B4" w:rsidP="00B8610C">
      <w:pPr>
        <w:pStyle w:val="FootnoteText"/>
      </w:pPr>
      <w:r>
        <w:rPr>
          <w:rStyle w:val="FootnoteReference"/>
        </w:rPr>
        <w:footnoteRef/>
      </w:r>
      <w:r>
        <w:t xml:space="preserve"> </w:t>
      </w:r>
      <w:r w:rsidR="00D66EA8">
        <w:t>Mund</w:t>
      </w:r>
      <w:r w:rsidR="00505860">
        <w:t xml:space="preserve">y and Newell, </w:t>
      </w:r>
      <w:r w:rsidR="00505860" w:rsidRPr="00B71FD6">
        <w:rPr>
          <w:rFonts w:cs="Helvetica"/>
        </w:rPr>
        <w:t>‘Attention, Joint Attention, and Social Cognition’,</w:t>
      </w:r>
      <w:r w:rsidR="00505860">
        <w:rPr>
          <w:rFonts w:cs="Helvetica"/>
        </w:rPr>
        <w:t xml:space="preserve"> </w:t>
      </w:r>
      <w:r w:rsidR="00D66EA8">
        <w:rPr>
          <w:rFonts w:cs="Helvetica"/>
        </w:rPr>
        <w:t>2.</w:t>
      </w:r>
    </w:p>
  </w:footnote>
  <w:footnote w:id="11">
    <w:p w14:paraId="514F5012" w14:textId="00513738" w:rsidR="00F603B4" w:rsidRDefault="00F603B4">
      <w:pPr>
        <w:pStyle w:val="FootnoteText"/>
      </w:pPr>
      <w:r>
        <w:rPr>
          <w:rStyle w:val="FootnoteReference"/>
        </w:rPr>
        <w:footnoteRef/>
      </w:r>
      <w:r>
        <w:t xml:space="preserve"> </w:t>
      </w:r>
      <w:r w:rsidR="00505860">
        <w:t>Yang, “</w:t>
      </w:r>
      <w:r w:rsidR="00505860" w:rsidRPr="00517CA6">
        <w:rPr>
          <w:lang w:eastAsia="zh-CN"/>
        </w:rPr>
        <w:t>Matteo Ricci and Michel Foucault’s Reading of Epictetus</w:t>
      </w:r>
      <w:r w:rsidR="00505860">
        <w:rPr>
          <w:lang w:eastAsia="zh-CN"/>
        </w:rPr>
        <w:t>”, 00</w:t>
      </w:r>
    </w:p>
  </w:footnote>
  <w:footnote w:id="12">
    <w:p w14:paraId="354403A9" w14:textId="55DE0A9F" w:rsidR="00936872" w:rsidRDefault="00936872" w:rsidP="00C9086A">
      <w:pPr>
        <w:widowControl w:val="0"/>
        <w:autoSpaceDE w:val="0"/>
        <w:autoSpaceDN w:val="0"/>
        <w:adjustRightInd w:val="0"/>
      </w:pPr>
      <w:r>
        <w:rPr>
          <w:rStyle w:val="FootnoteReference"/>
        </w:rPr>
        <w:footnoteRef/>
      </w:r>
      <w:r>
        <w:t xml:space="preserve"> </w:t>
      </w:r>
      <w:r w:rsidR="00C9086A" w:rsidRPr="000003F7">
        <w:t xml:space="preserve">The founding text of niche construction is </w:t>
      </w:r>
      <w:r w:rsidR="000003F7">
        <w:t xml:space="preserve">John </w:t>
      </w:r>
      <w:proofErr w:type="spellStart"/>
      <w:r w:rsidR="000003F7">
        <w:rPr>
          <w:rFonts w:cs="Helvetica"/>
        </w:rPr>
        <w:t>Odling-Smee</w:t>
      </w:r>
      <w:proofErr w:type="spellEnd"/>
      <w:r w:rsidR="000003F7">
        <w:rPr>
          <w:rFonts w:cs="Helvetica"/>
        </w:rPr>
        <w:t xml:space="preserve">, Kevin N. </w:t>
      </w:r>
      <w:proofErr w:type="spellStart"/>
      <w:r w:rsidR="000003F7">
        <w:rPr>
          <w:rFonts w:cs="Helvetica"/>
        </w:rPr>
        <w:t>Laland</w:t>
      </w:r>
      <w:proofErr w:type="spellEnd"/>
      <w:r w:rsidR="000003F7">
        <w:rPr>
          <w:rFonts w:cs="Helvetica"/>
        </w:rPr>
        <w:t xml:space="preserve">, Markus W.  Feldman, </w:t>
      </w:r>
      <w:r w:rsidR="00C9086A" w:rsidRPr="000003F7">
        <w:rPr>
          <w:rFonts w:cs="Helvetica"/>
          <w:i/>
          <w:iCs/>
        </w:rPr>
        <w:t xml:space="preserve">Niche </w:t>
      </w:r>
      <w:proofErr w:type="gramStart"/>
      <w:r w:rsidR="00C9086A" w:rsidRPr="000003F7">
        <w:rPr>
          <w:rFonts w:cs="Helvetica"/>
          <w:i/>
          <w:iCs/>
        </w:rPr>
        <w:t>construction :</w:t>
      </w:r>
      <w:proofErr w:type="gramEnd"/>
      <w:r w:rsidR="00C9086A" w:rsidRPr="000003F7">
        <w:rPr>
          <w:rFonts w:cs="Helvetica"/>
          <w:i/>
          <w:iCs/>
        </w:rPr>
        <w:t xml:space="preserve"> the neglected process in evolution</w:t>
      </w:r>
      <w:r w:rsidR="00C9086A" w:rsidRPr="000003F7">
        <w:rPr>
          <w:rFonts w:cs="Helvetica"/>
        </w:rPr>
        <w:t xml:space="preserve"> (Princeton, N.J.; Woodstock: Princeton University Press, 2003).</w:t>
      </w:r>
      <w:r w:rsidR="000003F7" w:rsidRPr="000003F7">
        <w:rPr>
          <w:rFonts w:cs="Helvetica"/>
        </w:rPr>
        <w:t xml:space="preserve"> An authoritative recent survey of EES is Kevin N.</w:t>
      </w:r>
      <w:r w:rsidR="000003F7">
        <w:rPr>
          <w:rFonts w:cs="Helvetica"/>
        </w:rPr>
        <w:t xml:space="preserve"> </w:t>
      </w:r>
      <w:proofErr w:type="spellStart"/>
      <w:proofErr w:type="gramStart"/>
      <w:r w:rsidR="000003F7" w:rsidRPr="000003F7">
        <w:rPr>
          <w:rFonts w:cs="Helvetica"/>
        </w:rPr>
        <w:t>Laland</w:t>
      </w:r>
      <w:proofErr w:type="spellEnd"/>
      <w:r w:rsidR="000003F7" w:rsidRPr="000003F7">
        <w:rPr>
          <w:rFonts w:cs="Helvetica"/>
        </w:rPr>
        <w:t>,  Tobias</w:t>
      </w:r>
      <w:proofErr w:type="gramEnd"/>
      <w:r w:rsidR="000003F7" w:rsidRPr="000003F7">
        <w:rPr>
          <w:rFonts w:cs="Helvetica"/>
        </w:rPr>
        <w:t xml:space="preserve"> </w:t>
      </w:r>
      <w:proofErr w:type="spellStart"/>
      <w:r w:rsidR="000003F7" w:rsidRPr="000003F7">
        <w:rPr>
          <w:rFonts w:cs="Helvetica"/>
        </w:rPr>
        <w:t>Uller</w:t>
      </w:r>
      <w:proofErr w:type="spellEnd"/>
      <w:r w:rsidR="000003F7" w:rsidRPr="000003F7">
        <w:rPr>
          <w:rFonts w:cs="Helvetica"/>
        </w:rPr>
        <w:t xml:space="preserve">, Marcus W. Feldman, Kim </w:t>
      </w:r>
      <w:proofErr w:type="spellStart"/>
      <w:r w:rsidR="000003F7" w:rsidRPr="000003F7">
        <w:rPr>
          <w:rFonts w:cs="Helvetica"/>
        </w:rPr>
        <w:t>Sterelny</w:t>
      </w:r>
      <w:proofErr w:type="spellEnd"/>
      <w:r w:rsidR="000003F7" w:rsidRPr="000003F7">
        <w:rPr>
          <w:rFonts w:cs="Helvetica"/>
        </w:rPr>
        <w:t xml:space="preserve">, </w:t>
      </w:r>
      <w:proofErr w:type="spellStart"/>
      <w:r w:rsidR="000003F7" w:rsidRPr="000003F7">
        <w:rPr>
          <w:rFonts w:cs="Helvetica"/>
        </w:rPr>
        <w:t>Gerd</w:t>
      </w:r>
      <w:proofErr w:type="spellEnd"/>
      <w:r w:rsidR="000003F7" w:rsidRPr="000003F7">
        <w:rPr>
          <w:rFonts w:cs="Helvetica"/>
        </w:rPr>
        <w:t xml:space="preserve"> B. Müller, Armin </w:t>
      </w:r>
      <w:proofErr w:type="spellStart"/>
      <w:r w:rsidR="000003F7" w:rsidRPr="000003F7">
        <w:rPr>
          <w:rFonts w:cs="Helvetica"/>
        </w:rPr>
        <w:t>Moczek</w:t>
      </w:r>
      <w:proofErr w:type="spellEnd"/>
      <w:r w:rsidR="000003F7" w:rsidRPr="000003F7">
        <w:rPr>
          <w:rFonts w:cs="Helvetica"/>
        </w:rPr>
        <w:t xml:space="preserve">, Eva </w:t>
      </w:r>
      <w:proofErr w:type="spellStart"/>
      <w:r w:rsidR="000003F7" w:rsidRPr="000003F7">
        <w:rPr>
          <w:rFonts w:cs="Helvetica"/>
        </w:rPr>
        <w:t>Jablonka</w:t>
      </w:r>
      <w:proofErr w:type="spellEnd"/>
      <w:r w:rsidR="000003F7" w:rsidRPr="000003F7">
        <w:rPr>
          <w:rFonts w:cs="Helvetica"/>
        </w:rPr>
        <w:t>, an</w:t>
      </w:r>
      <w:r w:rsidR="000003F7">
        <w:rPr>
          <w:rFonts w:cs="Helvetica"/>
        </w:rPr>
        <w:t xml:space="preserve">d John </w:t>
      </w:r>
      <w:proofErr w:type="spellStart"/>
      <w:r w:rsidR="000003F7">
        <w:rPr>
          <w:rFonts w:cs="Helvetica"/>
        </w:rPr>
        <w:t>Odling-Smee</w:t>
      </w:r>
      <w:proofErr w:type="spellEnd"/>
      <w:r w:rsidR="000003F7">
        <w:rPr>
          <w:rFonts w:cs="Helvetica"/>
        </w:rPr>
        <w:t xml:space="preserve">, </w:t>
      </w:r>
      <w:r w:rsidR="000003F7" w:rsidRPr="000003F7">
        <w:rPr>
          <w:rFonts w:cs="Helvetica"/>
        </w:rPr>
        <w:t xml:space="preserve">'The extended evolutionary synthesis: its structure, assumptions and predictions', </w:t>
      </w:r>
      <w:r w:rsidR="000003F7" w:rsidRPr="000003F7">
        <w:rPr>
          <w:rFonts w:cs="Helvetica"/>
          <w:i/>
          <w:iCs/>
        </w:rPr>
        <w:t>Proceedings of the Royal Society of London B: Biological Sciences</w:t>
      </w:r>
      <w:r w:rsidR="000003F7" w:rsidRPr="000003F7">
        <w:rPr>
          <w:rFonts w:cs="Helvetica"/>
        </w:rPr>
        <w:t xml:space="preserve">, </w:t>
      </w:r>
      <w:r w:rsidR="000003F7">
        <w:rPr>
          <w:rFonts w:cs="Helvetica"/>
        </w:rPr>
        <w:t xml:space="preserve">2015, </w:t>
      </w:r>
      <w:r w:rsidR="00505860">
        <w:rPr>
          <w:rFonts w:cs="Helvetica"/>
        </w:rPr>
        <w:t>282:20151019.</w:t>
      </w:r>
    </w:p>
  </w:footnote>
  <w:footnote w:id="13">
    <w:p w14:paraId="0A8554EA" w14:textId="424082E1" w:rsidR="00F603B4" w:rsidRDefault="00F603B4">
      <w:pPr>
        <w:pStyle w:val="FootnoteText"/>
      </w:pPr>
      <w:r>
        <w:rPr>
          <w:rStyle w:val="FootnoteReference"/>
        </w:rPr>
        <w:footnoteRef/>
      </w:r>
      <w:r>
        <w:t xml:space="preserve"> </w:t>
      </w:r>
      <w:hyperlink r:id="rId1" w:history="1">
        <w:r w:rsidR="002A1006" w:rsidRPr="00A25230">
          <w:rPr>
            <w:rStyle w:val="Hyperlink"/>
          </w:rPr>
          <w:t>http://www.etymonline.com/index.php?term=perspective&amp;allowed_in_frame=0</w:t>
        </w:r>
      </w:hyperlink>
      <w:r w:rsidR="002A1006">
        <w:t xml:space="preserve"> (accessed 30/5/17).</w:t>
      </w:r>
    </w:p>
  </w:footnote>
  <w:footnote w:id="14">
    <w:p w14:paraId="186668AC" w14:textId="0B14E761" w:rsidR="00F603B4" w:rsidRDefault="00F603B4" w:rsidP="006663F9">
      <w:pPr>
        <w:widowControl w:val="0"/>
        <w:autoSpaceDE w:val="0"/>
        <w:autoSpaceDN w:val="0"/>
        <w:adjustRightInd w:val="0"/>
      </w:pPr>
      <w:r w:rsidRPr="005139DA">
        <w:rPr>
          <w:rStyle w:val="FootnoteReference"/>
        </w:rPr>
        <w:footnoteRef/>
      </w:r>
      <w:r w:rsidRPr="005139DA">
        <w:t xml:space="preserve"> The same brain area, the medial prefronta</w:t>
      </w:r>
      <w:r w:rsidR="00674211" w:rsidRPr="005139DA">
        <w:t xml:space="preserve">l cortex, is recruited in </w:t>
      </w:r>
      <w:r w:rsidRPr="005139DA">
        <w:t>both pre-thematic and thematic social reasoning.</w:t>
      </w:r>
      <w:r w:rsidR="003D6719" w:rsidRPr="005139DA">
        <w:t xml:space="preserve"> On this theme, see </w:t>
      </w:r>
      <w:r w:rsidR="006663F9">
        <w:t xml:space="preserve">Earl K. </w:t>
      </w:r>
      <w:r w:rsidR="005139DA" w:rsidRPr="005139DA">
        <w:rPr>
          <w:rFonts w:cs="Helvetica"/>
        </w:rPr>
        <w:t>Miller, David J. F</w:t>
      </w:r>
      <w:r w:rsidR="006663F9">
        <w:rPr>
          <w:rFonts w:cs="Helvetica"/>
        </w:rPr>
        <w:t xml:space="preserve">reedman, and Jonathan D. Wallis, </w:t>
      </w:r>
      <w:r w:rsidR="005139DA" w:rsidRPr="005139DA">
        <w:rPr>
          <w:rFonts w:cs="Helvetica"/>
        </w:rPr>
        <w:t xml:space="preserve">'The prefrontal cortex: categories, concepts and cognition', </w:t>
      </w:r>
      <w:r w:rsidR="005139DA" w:rsidRPr="005139DA">
        <w:rPr>
          <w:rFonts w:cs="Helvetica"/>
          <w:i/>
          <w:iCs/>
        </w:rPr>
        <w:t>Philosophical Transactions of the Royal Society of London. Series B: Biological Sciences</w:t>
      </w:r>
      <w:r w:rsidR="005139DA" w:rsidRPr="005139DA">
        <w:rPr>
          <w:rFonts w:cs="Helvetica"/>
        </w:rPr>
        <w:t xml:space="preserve">, </w:t>
      </w:r>
      <w:r w:rsidR="006663F9">
        <w:rPr>
          <w:rFonts w:cs="Helvetica"/>
        </w:rPr>
        <w:t xml:space="preserve">2002, </w:t>
      </w:r>
      <w:r w:rsidR="005139DA" w:rsidRPr="005139DA">
        <w:rPr>
          <w:rFonts w:cs="Helvetica"/>
        </w:rPr>
        <w:t>357: 1123.</w:t>
      </w:r>
    </w:p>
  </w:footnote>
  <w:footnote w:id="15">
    <w:p w14:paraId="40255215" w14:textId="090CE392" w:rsidR="00C74D2A" w:rsidRPr="00D841A0" w:rsidRDefault="00F603B4" w:rsidP="00D841A0">
      <w:pPr>
        <w:widowControl w:val="0"/>
        <w:autoSpaceDE w:val="0"/>
        <w:autoSpaceDN w:val="0"/>
        <w:adjustRightInd w:val="0"/>
        <w:rPr>
          <w:rFonts w:cs="Helvetica"/>
        </w:rPr>
      </w:pPr>
      <w:r w:rsidRPr="00D841A0">
        <w:rPr>
          <w:rStyle w:val="FootnoteReference"/>
        </w:rPr>
        <w:footnoteRef/>
      </w:r>
      <w:r w:rsidRPr="00D841A0">
        <w:t xml:space="preserve"> </w:t>
      </w:r>
      <w:r w:rsidR="003E2E38" w:rsidRPr="00D841A0">
        <w:t xml:space="preserve">Ezequiel di Paulo and Hanne de </w:t>
      </w:r>
      <w:proofErr w:type="spellStart"/>
      <w:r w:rsidR="003E2E38" w:rsidRPr="00D841A0">
        <w:t>Jaegher</w:t>
      </w:r>
      <w:proofErr w:type="spellEnd"/>
      <w:r w:rsidR="003E2E38" w:rsidRPr="00D841A0">
        <w:t xml:space="preserve">, </w:t>
      </w:r>
      <w:r w:rsidR="003E2E38" w:rsidRPr="00D841A0">
        <w:rPr>
          <w:rFonts w:cs="Helvetica"/>
        </w:rPr>
        <w:t xml:space="preserve">'The interactive brain hypothesis', </w:t>
      </w:r>
      <w:r w:rsidR="003E2E38" w:rsidRPr="00D841A0">
        <w:rPr>
          <w:rFonts w:cs="Helvetica"/>
          <w:i/>
          <w:iCs/>
        </w:rPr>
        <w:t xml:space="preserve">Front Hum </w:t>
      </w:r>
      <w:proofErr w:type="spellStart"/>
      <w:r w:rsidR="003E2E38" w:rsidRPr="00D841A0">
        <w:rPr>
          <w:rFonts w:cs="Helvetica"/>
          <w:i/>
          <w:iCs/>
        </w:rPr>
        <w:t>Neurosci</w:t>
      </w:r>
      <w:proofErr w:type="spellEnd"/>
      <w:r w:rsidR="003E2E38" w:rsidRPr="00D841A0">
        <w:rPr>
          <w:rFonts w:cs="Helvetica"/>
        </w:rPr>
        <w:t>, 2012, 6: 163</w:t>
      </w:r>
      <w:r w:rsidR="00D73624" w:rsidRPr="00D841A0">
        <w:rPr>
          <w:rFonts w:cs="Helvetica"/>
        </w:rPr>
        <w:t xml:space="preserve">: </w:t>
      </w:r>
      <w:r w:rsidR="003D6719" w:rsidRPr="00D841A0">
        <w:rPr>
          <w:rFonts w:cs="Helvetica"/>
        </w:rPr>
        <w:t>2.</w:t>
      </w:r>
      <w:r w:rsidR="00C74D2A" w:rsidRPr="00D841A0">
        <w:rPr>
          <w:rFonts w:cs="Helvetica"/>
        </w:rPr>
        <w:t xml:space="preserve"> See also </w:t>
      </w:r>
      <w:r w:rsidR="00D841A0" w:rsidRPr="00D841A0">
        <w:rPr>
          <w:rFonts w:cs="Helvetica"/>
        </w:rPr>
        <w:t>Hanne d</w:t>
      </w:r>
      <w:r w:rsidR="00C74D2A" w:rsidRPr="00D841A0">
        <w:rPr>
          <w:rFonts w:cs="Helvetica"/>
        </w:rPr>
        <w:t xml:space="preserve">e </w:t>
      </w:r>
      <w:proofErr w:type="spellStart"/>
      <w:r w:rsidR="00C74D2A" w:rsidRPr="00D841A0">
        <w:rPr>
          <w:rFonts w:cs="Helvetica"/>
        </w:rPr>
        <w:t>Jaeghe</w:t>
      </w:r>
      <w:r w:rsidR="00D841A0" w:rsidRPr="00D841A0">
        <w:rPr>
          <w:rFonts w:cs="Helvetica"/>
        </w:rPr>
        <w:t>r</w:t>
      </w:r>
      <w:proofErr w:type="spellEnd"/>
      <w:r w:rsidR="00D841A0" w:rsidRPr="00D841A0">
        <w:rPr>
          <w:rFonts w:cs="Helvetica"/>
        </w:rPr>
        <w:t>, Hanne, and Ezequiel d</w:t>
      </w:r>
      <w:r w:rsidR="00C74D2A" w:rsidRPr="00D841A0">
        <w:rPr>
          <w:rFonts w:cs="Helvetica"/>
        </w:rPr>
        <w:t>i Paolo</w:t>
      </w:r>
      <w:r w:rsidR="00D841A0" w:rsidRPr="00D841A0">
        <w:rPr>
          <w:rFonts w:cs="Helvetica"/>
        </w:rPr>
        <w:t xml:space="preserve">, </w:t>
      </w:r>
      <w:r w:rsidR="00C74D2A" w:rsidRPr="00D841A0">
        <w:rPr>
          <w:rFonts w:cs="Helvetica"/>
        </w:rPr>
        <w:t xml:space="preserve">'Participatory sense-making', </w:t>
      </w:r>
      <w:r w:rsidR="00C74D2A" w:rsidRPr="00D841A0">
        <w:rPr>
          <w:rFonts w:cs="Helvetica"/>
          <w:i/>
          <w:iCs/>
        </w:rPr>
        <w:t>Phenomenology and the Cognitive Sciences</w:t>
      </w:r>
      <w:r w:rsidR="00C74D2A" w:rsidRPr="00D841A0">
        <w:rPr>
          <w:rFonts w:cs="Helvetica"/>
        </w:rPr>
        <w:t xml:space="preserve">, </w:t>
      </w:r>
      <w:r w:rsidR="00D841A0" w:rsidRPr="00D841A0">
        <w:rPr>
          <w:rFonts w:cs="Helvetica"/>
        </w:rPr>
        <w:t xml:space="preserve">2007, </w:t>
      </w:r>
      <w:r w:rsidR="00C74D2A" w:rsidRPr="00D841A0">
        <w:rPr>
          <w:rFonts w:cs="Helvetica"/>
        </w:rPr>
        <w:t>6: 485-507.</w:t>
      </w:r>
    </w:p>
    <w:p w14:paraId="3EF3E036" w14:textId="1DBE9B78" w:rsidR="00C74D2A" w:rsidRPr="00C74D2A" w:rsidRDefault="00C74D2A">
      <w:pPr>
        <w:pStyle w:val="FootnoteText"/>
        <w:rPr>
          <w:rFonts w:cs="Helvetica"/>
        </w:rPr>
      </w:pPr>
    </w:p>
  </w:footnote>
  <w:footnote w:id="16">
    <w:p w14:paraId="432E5AB7" w14:textId="45CCBE83" w:rsidR="003D6719" w:rsidRDefault="003D6719" w:rsidP="003D6719">
      <w:pPr>
        <w:widowControl w:val="0"/>
        <w:autoSpaceDE w:val="0"/>
        <w:autoSpaceDN w:val="0"/>
        <w:adjustRightInd w:val="0"/>
      </w:pPr>
      <w:r>
        <w:rPr>
          <w:rStyle w:val="FootnoteReference"/>
        </w:rPr>
        <w:footnoteRef/>
      </w:r>
      <w:r>
        <w:t xml:space="preserve"> </w:t>
      </w:r>
      <w:r w:rsidRPr="003D6719">
        <w:t xml:space="preserve">L. </w:t>
      </w:r>
      <w:proofErr w:type="spellStart"/>
      <w:r w:rsidRPr="003D6719">
        <w:rPr>
          <w:rFonts w:cs="Helvetica"/>
        </w:rPr>
        <w:t>Schilbach</w:t>
      </w:r>
      <w:proofErr w:type="spellEnd"/>
      <w:r w:rsidRPr="003D6719">
        <w:rPr>
          <w:rFonts w:cs="Helvetica"/>
        </w:rPr>
        <w:t xml:space="preserve">, B. Timmermans, V. Reddy, A. </w:t>
      </w:r>
      <w:proofErr w:type="spellStart"/>
      <w:r w:rsidRPr="003D6719">
        <w:rPr>
          <w:rFonts w:cs="Helvetica"/>
        </w:rPr>
        <w:t>Costall</w:t>
      </w:r>
      <w:proofErr w:type="spellEnd"/>
      <w:r w:rsidRPr="003D6719">
        <w:rPr>
          <w:rFonts w:cs="Helvetica"/>
        </w:rPr>
        <w:t xml:space="preserve">, G. </w:t>
      </w:r>
      <w:proofErr w:type="spellStart"/>
      <w:r w:rsidRPr="003D6719">
        <w:rPr>
          <w:rFonts w:cs="Helvetica"/>
        </w:rPr>
        <w:t>Bente</w:t>
      </w:r>
      <w:proofErr w:type="spellEnd"/>
      <w:r w:rsidRPr="003D6719">
        <w:rPr>
          <w:rFonts w:cs="Helvetica"/>
        </w:rPr>
        <w:t xml:space="preserve">, T. </w:t>
      </w:r>
      <w:proofErr w:type="spellStart"/>
      <w:r w:rsidRPr="003D6719">
        <w:rPr>
          <w:rFonts w:cs="Helvetica"/>
        </w:rPr>
        <w:t>Schlicht</w:t>
      </w:r>
      <w:proofErr w:type="spellEnd"/>
      <w:r w:rsidRPr="003D6719">
        <w:rPr>
          <w:rFonts w:cs="Helvetica"/>
        </w:rPr>
        <w:t xml:space="preserve">, and K. </w:t>
      </w:r>
      <w:proofErr w:type="spellStart"/>
      <w:r w:rsidRPr="003D6719">
        <w:rPr>
          <w:rFonts w:cs="Helvetica"/>
        </w:rPr>
        <w:t>Vogeley</w:t>
      </w:r>
      <w:proofErr w:type="spellEnd"/>
      <w:r w:rsidRPr="003D6719">
        <w:rPr>
          <w:rFonts w:cs="Helvetica"/>
        </w:rPr>
        <w:t xml:space="preserve">, ‘Toward a second-person neuroscience', </w:t>
      </w:r>
      <w:proofErr w:type="spellStart"/>
      <w:r w:rsidRPr="003D6719">
        <w:rPr>
          <w:rFonts w:cs="Helvetica"/>
          <w:i/>
          <w:iCs/>
        </w:rPr>
        <w:t>Behav</w:t>
      </w:r>
      <w:proofErr w:type="spellEnd"/>
      <w:r w:rsidRPr="003D6719">
        <w:rPr>
          <w:rFonts w:cs="Helvetica"/>
          <w:i/>
          <w:iCs/>
        </w:rPr>
        <w:t xml:space="preserve"> Brain </w:t>
      </w:r>
      <w:proofErr w:type="spellStart"/>
      <w:r w:rsidRPr="003D6719">
        <w:rPr>
          <w:rFonts w:cs="Helvetica"/>
          <w:i/>
          <w:iCs/>
        </w:rPr>
        <w:t>Sci</w:t>
      </w:r>
      <w:proofErr w:type="spellEnd"/>
      <w:r w:rsidRPr="003D6719">
        <w:rPr>
          <w:rFonts w:cs="Helvetica"/>
        </w:rPr>
        <w:t>, 2013, 36: 393-414.</w:t>
      </w:r>
      <w:r>
        <w:rPr>
          <w:rFonts w:cs="Helvetica"/>
        </w:rPr>
        <w:t xml:space="preserve"> </w:t>
      </w:r>
    </w:p>
  </w:footnote>
  <w:footnote w:id="17">
    <w:p w14:paraId="7F30898B" w14:textId="289C2CEA" w:rsidR="008261C3" w:rsidRPr="008261C3" w:rsidRDefault="00F603B4" w:rsidP="008261C3">
      <w:pPr>
        <w:widowControl w:val="0"/>
        <w:autoSpaceDE w:val="0"/>
        <w:autoSpaceDN w:val="0"/>
        <w:adjustRightInd w:val="0"/>
        <w:rPr>
          <w:rFonts w:cs="Helvetica"/>
        </w:rPr>
      </w:pPr>
      <w:r w:rsidRPr="008261C3">
        <w:rPr>
          <w:rStyle w:val="FootnoteReference"/>
        </w:rPr>
        <w:footnoteRef/>
      </w:r>
      <w:r w:rsidRPr="008261C3">
        <w:t xml:space="preserve"> </w:t>
      </w:r>
      <w:r w:rsidR="008261C3" w:rsidRPr="008261C3">
        <w:t xml:space="preserve">D. </w:t>
      </w:r>
      <w:r w:rsidR="008261C3" w:rsidRPr="008261C3">
        <w:rPr>
          <w:rFonts w:cs="Helvetica"/>
        </w:rPr>
        <w:t xml:space="preserve">Stout, 'Stone toolmaking and the evolution of human culture and cognition', </w:t>
      </w:r>
      <w:proofErr w:type="spellStart"/>
      <w:r w:rsidR="008261C3" w:rsidRPr="008261C3">
        <w:rPr>
          <w:rFonts w:cs="Helvetica"/>
          <w:i/>
          <w:iCs/>
        </w:rPr>
        <w:t>Philos</w:t>
      </w:r>
      <w:proofErr w:type="spellEnd"/>
      <w:r w:rsidR="008261C3" w:rsidRPr="008261C3">
        <w:rPr>
          <w:rFonts w:cs="Helvetica"/>
          <w:i/>
          <w:iCs/>
        </w:rPr>
        <w:t xml:space="preserve"> Trans R </w:t>
      </w:r>
      <w:proofErr w:type="spellStart"/>
      <w:r w:rsidR="008261C3" w:rsidRPr="008261C3">
        <w:rPr>
          <w:rFonts w:cs="Helvetica"/>
          <w:i/>
          <w:iCs/>
        </w:rPr>
        <w:t>Soc</w:t>
      </w:r>
      <w:proofErr w:type="spellEnd"/>
      <w:r w:rsidR="008261C3" w:rsidRPr="008261C3">
        <w:rPr>
          <w:rFonts w:cs="Helvetica"/>
          <w:i/>
          <w:iCs/>
        </w:rPr>
        <w:t xml:space="preserve"> </w:t>
      </w:r>
      <w:proofErr w:type="spellStart"/>
      <w:r w:rsidR="008261C3" w:rsidRPr="008261C3">
        <w:rPr>
          <w:rFonts w:cs="Helvetica"/>
          <w:i/>
          <w:iCs/>
        </w:rPr>
        <w:t>Lond</w:t>
      </w:r>
      <w:proofErr w:type="spellEnd"/>
      <w:r w:rsidR="008261C3" w:rsidRPr="008261C3">
        <w:rPr>
          <w:rFonts w:cs="Helvetica"/>
          <w:i/>
          <w:iCs/>
        </w:rPr>
        <w:t xml:space="preserve"> B </w:t>
      </w:r>
      <w:proofErr w:type="spellStart"/>
      <w:r w:rsidR="008261C3" w:rsidRPr="008261C3">
        <w:rPr>
          <w:rFonts w:cs="Helvetica"/>
          <w:i/>
          <w:iCs/>
        </w:rPr>
        <w:t>Biol</w:t>
      </w:r>
      <w:proofErr w:type="spellEnd"/>
      <w:r w:rsidR="008261C3" w:rsidRPr="008261C3">
        <w:rPr>
          <w:rFonts w:cs="Helvetica"/>
          <w:i/>
          <w:iCs/>
        </w:rPr>
        <w:t xml:space="preserve"> </w:t>
      </w:r>
      <w:proofErr w:type="spellStart"/>
      <w:r w:rsidR="008261C3" w:rsidRPr="008261C3">
        <w:rPr>
          <w:rFonts w:cs="Helvetica"/>
          <w:i/>
          <w:iCs/>
        </w:rPr>
        <w:t>Sci</w:t>
      </w:r>
      <w:proofErr w:type="spellEnd"/>
      <w:r w:rsidR="008261C3" w:rsidRPr="008261C3">
        <w:rPr>
          <w:rFonts w:cs="Helvetica"/>
        </w:rPr>
        <w:t>, 2011, 366: 1050-9.</w:t>
      </w:r>
    </w:p>
    <w:p w14:paraId="331C7DDF" w14:textId="420100CE" w:rsidR="00F603B4" w:rsidRDefault="00F603B4">
      <w:pPr>
        <w:pStyle w:val="FootnoteText"/>
      </w:pPr>
    </w:p>
  </w:footnote>
  <w:footnote w:id="18">
    <w:p w14:paraId="56F7DAFC" w14:textId="6E09BD7E" w:rsidR="00C0287A" w:rsidRDefault="00C0287A">
      <w:pPr>
        <w:pStyle w:val="FootnoteText"/>
      </w:pPr>
      <w:r>
        <w:rPr>
          <w:rStyle w:val="FootnoteReference"/>
        </w:rPr>
        <w:footnoteRef/>
      </w:r>
      <w:r>
        <w:t xml:space="preserve"> Yang, “</w:t>
      </w:r>
      <w:r w:rsidRPr="00517CA6">
        <w:rPr>
          <w:lang w:eastAsia="zh-CN"/>
        </w:rPr>
        <w:t>Matteo Ricci and Michel Foucault’s Reading of Epictetus</w:t>
      </w:r>
      <w:r>
        <w:rPr>
          <w:lang w:eastAsia="zh-CN"/>
        </w:rPr>
        <w:t>”, 00</w:t>
      </w:r>
    </w:p>
  </w:footnote>
  <w:footnote w:id="19">
    <w:p w14:paraId="6AD11A30" w14:textId="27E1C481" w:rsidR="00F603B4" w:rsidRDefault="00F603B4" w:rsidP="00332BD3">
      <w:pPr>
        <w:widowControl w:val="0"/>
        <w:autoSpaceDE w:val="0"/>
        <w:autoSpaceDN w:val="0"/>
        <w:adjustRightInd w:val="0"/>
        <w:ind w:left="720" w:hanging="720"/>
      </w:pPr>
      <w:r w:rsidRPr="00332BD3">
        <w:rPr>
          <w:rStyle w:val="FootnoteReference"/>
        </w:rPr>
        <w:footnoteRef/>
      </w:r>
      <w:r w:rsidRPr="00332BD3">
        <w:t xml:space="preserve"> </w:t>
      </w:r>
      <w:r w:rsidR="00332BD3" w:rsidRPr="00332BD3">
        <w:t xml:space="preserve">Max </w:t>
      </w:r>
      <w:proofErr w:type="spellStart"/>
      <w:r w:rsidR="00332BD3" w:rsidRPr="00332BD3">
        <w:rPr>
          <w:rFonts w:cs="Helvetica"/>
        </w:rPr>
        <w:t>Velmans</w:t>
      </w:r>
      <w:proofErr w:type="spellEnd"/>
      <w:r w:rsidR="00332BD3" w:rsidRPr="00332BD3">
        <w:rPr>
          <w:rFonts w:cs="Helvetica"/>
        </w:rPr>
        <w:t xml:space="preserve">, </w:t>
      </w:r>
      <w:r w:rsidR="00332BD3" w:rsidRPr="00332BD3">
        <w:rPr>
          <w:rFonts w:cs="Helvetica"/>
          <w:i/>
          <w:iCs/>
        </w:rPr>
        <w:t>Understanding Consciousness</w:t>
      </w:r>
      <w:r w:rsidR="00332BD3" w:rsidRPr="00332BD3">
        <w:rPr>
          <w:rFonts w:cs="Helvetica"/>
        </w:rPr>
        <w:t xml:space="preserve"> (Routledge: London, 2009).</w:t>
      </w:r>
    </w:p>
  </w:footnote>
  <w:footnote w:id="20">
    <w:p w14:paraId="01692312" w14:textId="014DAAB1" w:rsidR="00F603B4" w:rsidRDefault="00F603B4">
      <w:pPr>
        <w:pStyle w:val="FootnoteText"/>
      </w:pPr>
      <w:r>
        <w:rPr>
          <w:rStyle w:val="FootnoteReference"/>
        </w:rPr>
        <w:footnoteRef/>
      </w:r>
      <w:r>
        <w:t xml:space="preserve"> </w:t>
      </w:r>
      <w:r w:rsidR="00DA3A71">
        <w:t xml:space="preserve">Michel Foucault, </w:t>
      </w:r>
      <w:r w:rsidR="00DA3A71" w:rsidRPr="00C2513C">
        <w:rPr>
          <w:i/>
        </w:rPr>
        <w:t>The Hermeneutics of the Subject</w:t>
      </w:r>
      <w:r w:rsidR="00DA3A71">
        <w:t>, 18-19.</w:t>
      </w:r>
    </w:p>
  </w:footnote>
  <w:footnote w:id="21">
    <w:p w14:paraId="2A783007" w14:textId="4786B688" w:rsidR="00332BD3" w:rsidRPr="00332BD3" w:rsidRDefault="00F603B4" w:rsidP="00332BD3">
      <w:pPr>
        <w:widowControl w:val="0"/>
        <w:autoSpaceDE w:val="0"/>
        <w:autoSpaceDN w:val="0"/>
        <w:adjustRightInd w:val="0"/>
        <w:ind w:left="720" w:hanging="720"/>
      </w:pPr>
      <w:r w:rsidRPr="00332BD3">
        <w:rPr>
          <w:rStyle w:val="FootnoteReference"/>
        </w:rPr>
        <w:footnoteRef/>
      </w:r>
      <w:r w:rsidRPr="00332BD3">
        <w:t xml:space="preserve"> </w:t>
      </w:r>
      <w:r w:rsidR="00332BD3" w:rsidRPr="00332BD3">
        <w:t xml:space="preserve">Paul </w:t>
      </w:r>
      <w:proofErr w:type="spellStart"/>
      <w:proofErr w:type="gramStart"/>
      <w:r w:rsidR="00332BD3" w:rsidRPr="00332BD3">
        <w:t>Ricoeur</w:t>
      </w:r>
      <w:proofErr w:type="spellEnd"/>
      <w:r w:rsidR="00332BD3" w:rsidRPr="00332BD3">
        <w:t>,  ‘</w:t>
      </w:r>
      <w:proofErr w:type="gramEnd"/>
      <w:r w:rsidR="00332BD3" w:rsidRPr="00332BD3">
        <w:t xml:space="preserve">Phenomenology and Hermeneutics’, </w:t>
      </w:r>
      <w:r w:rsidR="00332BD3" w:rsidRPr="00332BD3">
        <w:rPr>
          <w:i/>
          <w:iCs/>
        </w:rPr>
        <w:t>Nous</w:t>
      </w:r>
      <w:r w:rsidR="00332BD3" w:rsidRPr="00332BD3">
        <w:rPr>
          <w:iCs/>
        </w:rPr>
        <w:t>, 1975, 9</w:t>
      </w:r>
      <w:r w:rsidR="00332BD3" w:rsidRPr="00332BD3">
        <w:t xml:space="preserve">(1), 85-102 (here 89-91). </w:t>
      </w:r>
    </w:p>
    <w:p w14:paraId="23AA1F52" w14:textId="6572E840" w:rsidR="00F603B4" w:rsidRDefault="00F603B4">
      <w:pPr>
        <w:pStyle w:val="FootnoteText"/>
      </w:pPr>
    </w:p>
  </w:footnote>
  <w:footnote w:id="22">
    <w:p w14:paraId="0C40C6DA" w14:textId="4CE875B6" w:rsidR="000A6AE4" w:rsidRPr="001B702E" w:rsidRDefault="000A6AE4" w:rsidP="001B702E">
      <w:pPr>
        <w:widowControl w:val="0"/>
        <w:autoSpaceDE w:val="0"/>
        <w:autoSpaceDN w:val="0"/>
        <w:adjustRightInd w:val="0"/>
      </w:pPr>
      <w:r w:rsidRPr="001B702E">
        <w:rPr>
          <w:rStyle w:val="FootnoteReference"/>
        </w:rPr>
        <w:footnoteRef/>
      </w:r>
      <w:r w:rsidRPr="001B702E">
        <w:t xml:space="preserve"> </w:t>
      </w:r>
      <w:r w:rsidR="001B702E">
        <w:rPr>
          <w:rFonts w:cs="Times New Roman"/>
        </w:rPr>
        <w:t>“</w:t>
      </w:r>
      <w:proofErr w:type="spellStart"/>
      <w:r w:rsidR="001B702E" w:rsidRPr="001B702E">
        <w:rPr>
          <w:rFonts w:cs="Times New Roman"/>
        </w:rPr>
        <w:t>Über</w:t>
      </w:r>
      <w:proofErr w:type="spellEnd"/>
      <w:r w:rsidR="001B702E" w:rsidRPr="001B702E">
        <w:rPr>
          <w:rFonts w:cs="Times New Roman"/>
        </w:rPr>
        <w:t xml:space="preserve"> D. Martin </w:t>
      </w:r>
      <w:proofErr w:type="spellStart"/>
      <w:r w:rsidR="001B702E" w:rsidRPr="001B702E">
        <w:rPr>
          <w:rFonts w:cs="Times New Roman"/>
        </w:rPr>
        <w:t>Luthers</w:t>
      </w:r>
      <w:proofErr w:type="spellEnd"/>
      <w:r w:rsidR="001B702E" w:rsidRPr="001B702E">
        <w:rPr>
          <w:rFonts w:cs="Times New Roman"/>
        </w:rPr>
        <w:t xml:space="preserve"> </w:t>
      </w:r>
      <w:proofErr w:type="spellStart"/>
      <w:r w:rsidR="001B702E" w:rsidRPr="001B702E">
        <w:rPr>
          <w:rFonts w:cs="Times New Roman"/>
        </w:rPr>
        <w:t>Buch</w:t>
      </w:r>
      <w:proofErr w:type="spellEnd"/>
      <w:r w:rsidR="001B702E" w:rsidRPr="001B702E">
        <w:rPr>
          <w:rFonts w:cs="Times New Roman"/>
        </w:rPr>
        <w:t xml:space="preserve">, </w:t>
      </w:r>
      <w:proofErr w:type="spellStart"/>
      <w:r w:rsidR="001B702E" w:rsidRPr="001B702E">
        <w:rPr>
          <w:rFonts w:cs="Times New Roman"/>
        </w:rPr>
        <w:t>Bekenntnis</w:t>
      </w:r>
      <w:proofErr w:type="spellEnd"/>
      <w:r w:rsidR="001B702E" w:rsidRPr="001B702E">
        <w:rPr>
          <w:rFonts w:cs="Times New Roman"/>
        </w:rPr>
        <w:t xml:space="preserve"> </w:t>
      </w:r>
      <w:proofErr w:type="spellStart"/>
      <w:r w:rsidR="001B702E" w:rsidRPr="001B702E">
        <w:rPr>
          <w:rFonts w:cs="Times New Roman"/>
        </w:rPr>
        <w:t>gennant</w:t>
      </w:r>
      <w:proofErr w:type="spellEnd"/>
      <w:r w:rsidR="001B702E">
        <w:rPr>
          <w:rFonts w:cs="Times New Roman"/>
        </w:rPr>
        <w:t>”</w:t>
      </w:r>
      <w:r w:rsidR="001B702E" w:rsidRPr="001B702E">
        <w:rPr>
          <w:rFonts w:cs="Times New Roman"/>
        </w:rPr>
        <w:t xml:space="preserve">, </w:t>
      </w:r>
      <w:proofErr w:type="spellStart"/>
      <w:r w:rsidR="001B702E" w:rsidRPr="001B702E">
        <w:rPr>
          <w:rFonts w:cs="Times New Roman"/>
          <w:i/>
        </w:rPr>
        <w:t>Huldrich</w:t>
      </w:r>
      <w:proofErr w:type="spellEnd"/>
      <w:r w:rsidR="001B702E" w:rsidRPr="001B702E">
        <w:rPr>
          <w:rFonts w:cs="Times New Roman"/>
          <w:i/>
        </w:rPr>
        <w:t xml:space="preserve"> </w:t>
      </w:r>
      <w:proofErr w:type="spellStart"/>
      <w:r w:rsidR="001B702E" w:rsidRPr="001B702E">
        <w:rPr>
          <w:rFonts w:cs="Times New Roman"/>
          <w:i/>
        </w:rPr>
        <w:t>Zwinglis</w:t>
      </w:r>
      <w:proofErr w:type="spellEnd"/>
      <w:r w:rsidR="001B702E" w:rsidRPr="001B702E">
        <w:rPr>
          <w:rFonts w:cs="Times New Roman"/>
          <w:i/>
        </w:rPr>
        <w:t xml:space="preserve"> </w:t>
      </w:r>
      <w:proofErr w:type="spellStart"/>
      <w:r w:rsidR="001B702E" w:rsidRPr="001B702E">
        <w:rPr>
          <w:rFonts w:cs="Times New Roman"/>
          <w:i/>
        </w:rPr>
        <w:t>Sämtliche</w:t>
      </w:r>
      <w:proofErr w:type="spellEnd"/>
      <w:r w:rsidR="001B702E" w:rsidRPr="001B702E">
        <w:rPr>
          <w:rFonts w:cs="Times New Roman"/>
          <w:i/>
        </w:rPr>
        <w:t xml:space="preserve"> </w:t>
      </w:r>
      <w:proofErr w:type="spellStart"/>
      <w:r w:rsidR="001B702E" w:rsidRPr="001B702E">
        <w:rPr>
          <w:rFonts w:cs="Times New Roman"/>
          <w:i/>
        </w:rPr>
        <w:t>Werke</w:t>
      </w:r>
      <w:proofErr w:type="spellEnd"/>
      <w:r w:rsidR="00D0289A">
        <w:rPr>
          <w:rFonts w:cs="Times New Roman"/>
        </w:rPr>
        <w:t xml:space="preserve"> </w:t>
      </w:r>
      <w:r w:rsidR="001B702E" w:rsidRPr="001B702E">
        <w:rPr>
          <w:rFonts w:cs="Times New Roman"/>
        </w:rPr>
        <w:t>(</w:t>
      </w:r>
      <w:r w:rsidR="00850A87">
        <w:rPr>
          <w:rFonts w:cs="Times New Roman"/>
        </w:rPr>
        <w:t xml:space="preserve">Corpus </w:t>
      </w:r>
      <w:proofErr w:type="spellStart"/>
      <w:r w:rsidR="00850A87">
        <w:rPr>
          <w:rFonts w:cs="Times New Roman"/>
        </w:rPr>
        <w:t>Reformatorum</w:t>
      </w:r>
      <w:proofErr w:type="spellEnd"/>
      <w:r w:rsidR="00850A87">
        <w:rPr>
          <w:rFonts w:cs="Times New Roman"/>
        </w:rPr>
        <w:t xml:space="preserve">, Vol. </w:t>
      </w:r>
      <w:proofErr w:type="gramStart"/>
      <w:r w:rsidR="00850A87">
        <w:rPr>
          <w:rFonts w:cs="Times New Roman"/>
        </w:rPr>
        <w:t>93,  167</w:t>
      </w:r>
      <w:proofErr w:type="gramEnd"/>
      <w:r w:rsidR="00850A87">
        <w:rPr>
          <w:rFonts w:cs="Times New Roman"/>
        </w:rPr>
        <w:t>).</w:t>
      </w:r>
    </w:p>
  </w:footnote>
  <w:footnote w:id="23">
    <w:p w14:paraId="57E353B0" w14:textId="4B36A946" w:rsidR="00D0289A" w:rsidRPr="00D0289A" w:rsidRDefault="000A6AE4" w:rsidP="00D0289A">
      <w:pPr>
        <w:widowControl w:val="0"/>
        <w:autoSpaceDE w:val="0"/>
        <w:autoSpaceDN w:val="0"/>
        <w:adjustRightInd w:val="0"/>
        <w:rPr>
          <w:rFonts w:cs="Times New Roman"/>
          <w:i/>
        </w:rPr>
      </w:pPr>
      <w:r w:rsidRPr="00D0289A">
        <w:rPr>
          <w:rStyle w:val="FootnoteReference"/>
        </w:rPr>
        <w:footnoteRef/>
      </w:r>
      <w:r w:rsidRPr="00D0289A">
        <w:t xml:space="preserve"> </w:t>
      </w:r>
      <w:r w:rsidR="00D0289A">
        <w:rPr>
          <w:rFonts w:cs="Times New Roman"/>
        </w:rPr>
        <w:t>“</w:t>
      </w:r>
      <w:proofErr w:type="spellStart"/>
      <w:r w:rsidR="00D0289A" w:rsidRPr="00D0289A">
        <w:rPr>
          <w:rFonts w:cs="Times New Roman"/>
        </w:rPr>
        <w:t>Antwort</w:t>
      </w:r>
      <w:proofErr w:type="spellEnd"/>
      <w:r w:rsidR="00D0289A" w:rsidRPr="00D0289A">
        <w:rPr>
          <w:rFonts w:cs="Times New Roman"/>
        </w:rPr>
        <w:t xml:space="preserve"> </w:t>
      </w:r>
      <w:proofErr w:type="spellStart"/>
      <w:r w:rsidR="00D0289A" w:rsidRPr="00D0289A">
        <w:rPr>
          <w:rFonts w:cs="Times New Roman"/>
        </w:rPr>
        <w:t>über</w:t>
      </w:r>
      <w:proofErr w:type="spellEnd"/>
      <w:r w:rsidR="00D0289A" w:rsidRPr="00D0289A">
        <w:rPr>
          <w:rFonts w:cs="Times New Roman"/>
        </w:rPr>
        <w:t xml:space="preserve"> </w:t>
      </w:r>
      <w:proofErr w:type="spellStart"/>
      <w:r w:rsidR="00D0289A" w:rsidRPr="00D0289A">
        <w:rPr>
          <w:rFonts w:cs="Times New Roman"/>
        </w:rPr>
        <w:t>Straussens</w:t>
      </w:r>
      <w:proofErr w:type="spellEnd"/>
      <w:r w:rsidR="00D0289A" w:rsidRPr="00D0289A">
        <w:rPr>
          <w:rFonts w:cs="Times New Roman"/>
        </w:rPr>
        <w:t xml:space="preserve"> </w:t>
      </w:r>
      <w:proofErr w:type="spellStart"/>
      <w:r w:rsidR="00D0289A" w:rsidRPr="00D0289A">
        <w:rPr>
          <w:rFonts w:cs="Times New Roman"/>
        </w:rPr>
        <w:t>Büchlein</w:t>
      </w:r>
      <w:proofErr w:type="spellEnd"/>
      <w:r w:rsidR="00D0289A" w:rsidRPr="00D0289A">
        <w:rPr>
          <w:rFonts w:cs="Times New Roman"/>
        </w:rPr>
        <w:t>, da</w:t>
      </w:r>
      <w:r w:rsidR="00D0289A">
        <w:rPr>
          <w:rFonts w:cs="Times New Roman"/>
        </w:rPr>
        <w:t xml:space="preserve">s </w:t>
      </w:r>
      <w:proofErr w:type="spellStart"/>
      <w:r w:rsidR="00D0289A">
        <w:rPr>
          <w:rFonts w:cs="Times New Roman"/>
        </w:rPr>
        <w:t>Nachtmahl</w:t>
      </w:r>
      <w:proofErr w:type="spellEnd"/>
      <w:r w:rsidR="00D0289A">
        <w:rPr>
          <w:rFonts w:cs="Times New Roman"/>
        </w:rPr>
        <w:t xml:space="preserve"> Christi </w:t>
      </w:r>
      <w:proofErr w:type="spellStart"/>
      <w:r w:rsidR="00D0289A">
        <w:rPr>
          <w:rFonts w:cs="Times New Roman"/>
        </w:rPr>
        <w:t>betreffend</w:t>
      </w:r>
      <w:proofErr w:type="spellEnd"/>
      <w:r w:rsidR="00D0289A">
        <w:rPr>
          <w:rFonts w:cs="Times New Roman"/>
        </w:rPr>
        <w:t xml:space="preserve">”, </w:t>
      </w:r>
      <w:proofErr w:type="spellStart"/>
      <w:r w:rsidR="00D0289A" w:rsidRPr="00D0289A">
        <w:rPr>
          <w:rFonts w:cs="Times New Roman"/>
          <w:i/>
        </w:rPr>
        <w:t>Huldrich</w:t>
      </w:r>
      <w:proofErr w:type="spellEnd"/>
      <w:r w:rsidR="00D0289A" w:rsidRPr="00D0289A">
        <w:rPr>
          <w:rFonts w:cs="Times New Roman"/>
          <w:i/>
        </w:rPr>
        <w:t xml:space="preserve"> </w:t>
      </w:r>
      <w:proofErr w:type="spellStart"/>
      <w:r w:rsidR="00D0289A" w:rsidRPr="00D0289A">
        <w:rPr>
          <w:rFonts w:cs="Times New Roman"/>
          <w:i/>
        </w:rPr>
        <w:t>Zwinglis</w:t>
      </w:r>
      <w:proofErr w:type="spellEnd"/>
    </w:p>
    <w:p w14:paraId="56648325" w14:textId="23F0187F" w:rsidR="000A6AE4" w:rsidRPr="00D0289A" w:rsidRDefault="00D0289A" w:rsidP="00D0289A">
      <w:pPr>
        <w:pStyle w:val="FootnoteText"/>
      </w:pPr>
      <w:proofErr w:type="spellStart"/>
      <w:r w:rsidRPr="00D0289A">
        <w:rPr>
          <w:rFonts w:cs="Times New Roman"/>
          <w:i/>
        </w:rPr>
        <w:t>Sämtliche</w:t>
      </w:r>
      <w:proofErr w:type="spellEnd"/>
      <w:r w:rsidRPr="00D0289A">
        <w:rPr>
          <w:rFonts w:cs="Times New Roman"/>
          <w:i/>
        </w:rPr>
        <w:t xml:space="preserve"> </w:t>
      </w:r>
      <w:proofErr w:type="spellStart"/>
      <w:r w:rsidRPr="00D0289A">
        <w:rPr>
          <w:rFonts w:cs="Times New Roman"/>
          <w:i/>
        </w:rPr>
        <w:t>Werke</w:t>
      </w:r>
      <w:proofErr w:type="spellEnd"/>
      <w:r w:rsidR="005A549F">
        <w:rPr>
          <w:rFonts w:cs="Times New Roman"/>
        </w:rPr>
        <w:t xml:space="preserve"> (Corpus </w:t>
      </w:r>
      <w:proofErr w:type="spellStart"/>
      <w:r w:rsidR="005A549F">
        <w:rPr>
          <w:rFonts w:cs="Times New Roman"/>
        </w:rPr>
        <w:t>Reformatorum</w:t>
      </w:r>
      <w:proofErr w:type="spellEnd"/>
      <w:r w:rsidR="005A549F">
        <w:rPr>
          <w:rFonts w:cs="Times New Roman"/>
        </w:rPr>
        <w:t xml:space="preserve">, </w:t>
      </w:r>
      <w:r w:rsidR="00850A87">
        <w:rPr>
          <w:rFonts w:cs="Times New Roman"/>
        </w:rPr>
        <w:t>Vol. 92</w:t>
      </w:r>
      <w:r w:rsidRPr="00D0289A">
        <w:rPr>
          <w:rFonts w:cs="Times New Roman"/>
        </w:rPr>
        <w:t xml:space="preserve">, </w:t>
      </w:r>
      <w:r w:rsidR="00850A87">
        <w:rPr>
          <w:rFonts w:cs="Times New Roman"/>
        </w:rPr>
        <w:t>828-9</w:t>
      </w:r>
      <w:r w:rsidR="005A549F">
        <w:rPr>
          <w:rFonts w:cs="Times New Roman"/>
        </w:rPr>
        <w:t>)</w:t>
      </w:r>
      <w:r>
        <w:rPr>
          <w:rFonts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D7"/>
    <w:rsid w:val="000003F7"/>
    <w:rsid w:val="00002DA4"/>
    <w:rsid w:val="0000316B"/>
    <w:rsid w:val="000032CF"/>
    <w:rsid w:val="00007CB6"/>
    <w:rsid w:val="00014088"/>
    <w:rsid w:val="00016C7A"/>
    <w:rsid w:val="0001798B"/>
    <w:rsid w:val="0002030C"/>
    <w:rsid w:val="00023F9C"/>
    <w:rsid w:val="00025357"/>
    <w:rsid w:val="0002762B"/>
    <w:rsid w:val="00034159"/>
    <w:rsid w:val="0003590F"/>
    <w:rsid w:val="00035D85"/>
    <w:rsid w:val="000372EB"/>
    <w:rsid w:val="00037C70"/>
    <w:rsid w:val="000408B6"/>
    <w:rsid w:val="000412AA"/>
    <w:rsid w:val="00041F99"/>
    <w:rsid w:val="000420FC"/>
    <w:rsid w:val="000426F3"/>
    <w:rsid w:val="00047BCD"/>
    <w:rsid w:val="00057909"/>
    <w:rsid w:val="00062B89"/>
    <w:rsid w:val="000670AA"/>
    <w:rsid w:val="00076320"/>
    <w:rsid w:val="00076FBE"/>
    <w:rsid w:val="00077745"/>
    <w:rsid w:val="00080D04"/>
    <w:rsid w:val="0008228B"/>
    <w:rsid w:val="00082AD0"/>
    <w:rsid w:val="000858C1"/>
    <w:rsid w:val="000A0DC9"/>
    <w:rsid w:val="000A436B"/>
    <w:rsid w:val="000A46A6"/>
    <w:rsid w:val="000A5F2C"/>
    <w:rsid w:val="000A6AE4"/>
    <w:rsid w:val="000B64BB"/>
    <w:rsid w:val="000C0A8C"/>
    <w:rsid w:val="000C0EAA"/>
    <w:rsid w:val="000C428E"/>
    <w:rsid w:val="000C5D36"/>
    <w:rsid w:val="000E23E6"/>
    <w:rsid w:val="000E3B7C"/>
    <w:rsid w:val="000E5E09"/>
    <w:rsid w:val="000F2996"/>
    <w:rsid w:val="000F437F"/>
    <w:rsid w:val="000F4D24"/>
    <w:rsid w:val="000F596F"/>
    <w:rsid w:val="000F7E33"/>
    <w:rsid w:val="00101105"/>
    <w:rsid w:val="001020C7"/>
    <w:rsid w:val="0010384D"/>
    <w:rsid w:val="00105D89"/>
    <w:rsid w:val="00106AA3"/>
    <w:rsid w:val="00114C8B"/>
    <w:rsid w:val="00127F40"/>
    <w:rsid w:val="001316A4"/>
    <w:rsid w:val="00135139"/>
    <w:rsid w:val="00142E64"/>
    <w:rsid w:val="00145521"/>
    <w:rsid w:val="00147A9A"/>
    <w:rsid w:val="0015193D"/>
    <w:rsid w:val="0015290B"/>
    <w:rsid w:val="00152CCC"/>
    <w:rsid w:val="00152FC5"/>
    <w:rsid w:val="00153813"/>
    <w:rsid w:val="00153F40"/>
    <w:rsid w:val="001552A4"/>
    <w:rsid w:val="00156349"/>
    <w:rsid w:val="0016066B"/>
    <w:rsid w:val="00161576"/>
    <w:rsid w:val="00162793"/>
    <w:rsid w:val="001643BD"/>
    <w:rsid w:val="0016680E"/>
    <w:rsid w:val="00176764"/>
    <w:rsid w:val="00180730"/>
    <w:rsid w:val="00184427"/>
    <w:rsid w:val="00191DF7"/>
    <w:rsid w:val="00197F17"/>
    <w:rsid w:val="001A0243"/>
    <w:rsid w:val="001A0A33"/>
    <w:rsid w:val="001A1059"/>
    <w:rsid w:val="001A1187"/>
    <w:rsid w:val="001A278B"/>
    <w:rsid w:val="001A5024"/>
    <w:rsid w:val="001A6E8D"/>
    <w:rsid w:val="001B2F7D"/>
    <w:rsid w:val="001B4281"/>
    <w:rsid w:val="001B6C26"/>
    <w:rsid w:val="001B702E"/>
    <w:rsid w:val="001C2C4B"/>
    <w:rsid w:val="001C6C93"/>
    <w:rsid w:val="001D09DB"/>
    <w:rsid w:val="001D3855"/>
    <w:rsid w:val="001D7FCA"/>
    <w:rsid w:val="001E1ABB"/>
    <w:rsid w:val="001E73FA"/>
    <w:rsid w:val="001F1504"/>
    <w:rsid w:val="001F29B1"/>
    <w:rsid w:val="001F676E"/>
    <w:rsid w:val="0020299C"/>
    <w:rsid w:val="00204302"/>
    <w:rsid w:val="00215FB9"/>
    <w:rsid w:val="00224848"/>
    <w:rsid w:val="00226B04"/>
    <w:rsid w:val="00230922"/>
    <w:rsid w:val="00232495"/>
    <w:rsid w:val="00235EF3"/>
    <w:rsid w:val="002412AB"/>
    <w:rsid w:val="00243799"/>
    <w:rsid w:val="00245BB9"/>
    <w:rsid w:val="002502B6"/>
    <w:rsid w:val="00250828"/>
    <w:rsid w:val="0025117D"/>
    <w:rsid w:val="00252E41"/>
    <w:rsid w:val="00254A9E"/>
    <w:rsid w:val="00256A3D"/>
    <w:rsid w:val="002574B6"/>
    <w:rsid w:val="0026208B"/>
    <w:rsid w:val="002656B5"/>
    <w:rsid w:val="002657E5"/>
    <w:rsid w:val="00265DD9"/>
    <w:rsid w:val="00266894"/>
    <w:rsid w:val="00266ACB"/>
    <w:rsid w:val="00277759"/>
    <w:rsid w:val="0028277B"/>
    <w:rsid w:val="0028300A"/>
    <w:rsid w:val="00284AE3"/>
    <w:rsid w:val="00291D35"/>
    <w:rsid w:val="00292018"/>
    <w:rsid w:val="002932E5"/>
    <w:rsid w:val="002A1006"/>
    <w:rsid w:val="002A19EB"/>
    <w:rsid w:val="002A381C"/>
    <w:rsid w:val="002A546B"/>
    <w:rsid w:val="002A606F"/>
    <w:rsid w:val="002A6507"/>
    <w:rsid w:val="002A6930"/>
    <w:rsid w:val="002A6AF0"/>
    <w:rsid w:val="002B011A"/>
    <w:rsid w:val="002B109E"/>
    <w:rsid w:val="002B1794"/>
    <w:rsid w:val="002B2528"/>
    <w:rsid w:val="002B3D4D"/>
    <w:rsid w:val="002B4D99"/>
    <w:rsid w:val="002C052F"/>
    <w:rsid w:val="002C2B64"/>
    <w:rsid w:val="002E1ADE"/>
    <w:rsid w:val="002E2086"/>
    <w:rsid w:val="002E5827"/>
    <w:rsid w:val="002E655E"/>
    <w:rsid w:val="002F40C9"/>
    <w:rsid w:val="002F4AC6"/>
    <w:rsid w:val="002F502A"/>
    <w:rsid w:val="002F64F4"/>
    <w:rsid w:val="00310DBB"/>
    <w:rsid w:val="00311630"/>
    <w:rsid w:val="00314FDC"/>
    <w:rsid w:val="00315F8C"/>
    <w:rsid w:val="003178C3"/>
    <w:rsid w:val="003210DF"/>
    <w:rsid w:val="003256F1"/>
    <w:rsid w:val="00332BD3"/>
    <w:rsid w:val="00332CEB"/>
    <w:rsid w:val="00332DC4"/>
    <w:rsid w:val="00336316"/>
    <w:rsid w:val="003365E2"/>
    <w:rsid w:val="00337FF4"/>
    <w:rsid w:val="00341193"/>
    <w:rsid w:val="0034538B"/>
    <w:rsid w:val="00345615"/>
    <w:rsid w:val="00345F4F"/>
    <w:rsid w:val="003464CE"/>
    <w:rsid w:val="00355ABE"/>
    <w:rsid w:val="0035730E"/>
    <w:rsid w:val="00364D2E"/>
    <w:rsid w:val="003653BF"/>
    <w:rsid w:val="00365E65"/>
    <w:rsid w:val="00367A61"/>
    <w:rsid w:val="00371F1A"/>
    <w:rsid w:val="00372B7E"/>
    <w:rsid w:val="00383550"/>
    <w:rsid w:val="00385066"/>
    <w:rsid w:val="003862FA"/>
    <w:rsid w:val="00386493"/>
    <w:rsid w:val="003907A1"/>
    <w:rsid w:val="003936D5"/>
    <w:rsid w:val="003A1061"/>
    <w:rsid w:val="003A5822"/>
    <w:rsid w:val="003A64BE"/>
    <w:rsid w:val="003A65C7"/>
    <w:rsid w:val="003A7E4C"/>
    <w:rsid w:val="003B1EEF"/>
    <w:rsid w:val="003B2D17"/>
    <w:rsid w:val="003B5BE7"/>
    <w:rsid w:val="003B6609"/>
    <w:rsid w:val="003C0118"/>
    <w:rsid w:val="003C1337"/>
    <w:rsid w:val="003C31D7"/>
    <w:rsid w:val="003C4CAE"/>
    <w:rsid w:val="003C60D9"/>
    <w:rsid w:val="003C7B0F"/>
    <w:rsid w:val="003D3663"/>
    <w:rsid w:val="003D6719"/>
    <w:rsid w:val="003D7352"/>
    <w:rsid w:val="003E2E38"/>
    <w:rsid w:val="003F1EA5"/>
    <w:rsid w:val="003F44FF"/>
    <w:rsid w:val="00404275"/>
    <w:rsid w:val="00411E57"/>
    <w:rsid w:val="0041576F"/>
    <w:rsid w:val="004268BC"/>
    <w:rsid w:val="00427A26"/>
    <w:rsid w:val="00431433"/>
    <w:rsid w:val="00431999"/>
    <w:rsid w:val="00431FD7"/>
    <w:rsid w:val="0043419F"/>
    <w:rsid w:val="004369D9"/>
    <w:rsid w:val="004448F7"/>
    <w:rsid w:val="004453BD"/>
    <w:rsid w:val="00457B73"/>
    <w:rsid w:val="004639C5"/>
    <w:rsid w:val="00464858"/>
    <w:rsid w:val="004663E2"/>
    <w:rsid w:val="004675C1"/>
    <w:rsid w:val="00467F14"/>
    <w:rsid w:val="00474D2D"/>
    <w:rsid w:val="00477E8E"/>
    <w:rsid w:val="00483984"/>
    <w:rsid w:val="00487B0A"/>
    <w:rsid w:val="004910FD"/>
    <w:rsid w:val="0049138D"/>
    <w:rsid w:val="00492E2F"/>
    <w:rsid w:val="00492F89"/>
    <w:rsid w:val="00497499"/>
    <w:rsid w:val="004976DE"/>
    <w:rsid w:val="004A0EB0"/>
    <w:rsid w:val="004A7033"/>
    <w:rsid w:val="004A79EE"/>
    <w:rsid w:val="004C02F9"/>
    <w:rsid w:val="004C03A3"/>
    <w:rsid w:val="004D44D8"/>
    <w:rsid w:val="004D5876"/>
    <w:rsid w:val="004D78E4"/>
    <w:rsid w:val="004E082D"/>
    <w:rsid w:val="004E1464"/>
    <w:rsid w:val="004F2090"/>
    <w:rsid w:val="004F5DAB"/>
    <w:rsid w:val="00500949"/>
    <w:rsid w:val="0050274A"/>
    <w:rsid w:val="00505860"/>
    <w:rsid w:val="005139DA"/>
    <w:rsid w:val="005143DA"/>
    <w:rsid w:val="00517CA6"/>
    <w:rsid w:val="00522733"/>
    <w:rsid w:val="00523139"/>
    <w:rsid w:val="00526372"/>
    <w:rsid w:val="005315BE"/>
    <w:rsid w:val="005321B2"/>
    <w:rsid w:val="00533ECA"/>
    <w:rsid w:val="00535C74"/>
    <w:rsid w:val="00536414"/>
    <w:rsid w:val="00542797"/>
    <w:rsid w:val="00544D82"/>
    <w:rsid w:val="00553041"/>
    <w:rsid w:val="005576B3"/>
    <w:rsid w:val="00557C41"/>
    <w:rsid w:val="00563735"/>
    <w:rsid w:val="00565030"/>
    <w:rsid w:val="00565424"/>
    <w:rsid w:val="00565E62"/>
    <w:rsid w:val="00567761"/>
    <w:rsid w:val="00571EB0"/>
    <w:rsid w:val="00572A4B"/>
    <w:rsid w:val="0057536A"/>
    <w:rsid w:val="0057772D"/>
    <w:rsid w:val="00580595"/>
    <w:rsid w:val="00580F33"/>
    <w:rsid w:val="00581F9D"/>
    <w:rsid w:val="00585296"/>
    <w:rsid w:val="00586CC5"/>
    <w:rsid w:val="0058739B"/>
    <w:rsid w:val="00590747"/>
    <w:rsid w:val="00590F3C"/>
    <w:rsid w:val="005A13BE"/>
    <w:rsid w:val="005A549F"/>
    <w:rsid w:val="005B2770"/>
    <w:rsid w:val="005B69B2"/>
    <w:rsid w:val="005C1A21"/>
    <w:rsid w:val="005C235D"/>
    <w:rsid w:val="005C4A20"/>
    <w:rsid w:val="005C7C4E"/>
    <w:rsid w:val="005D046F"/>
    <w:rsid w:val="005D06EF"/>
    <w:rsid w:val="005D1415"/>
    <w:rsid w:val="005D424A"/>
    <w:rsid w:val="005E650D"/>
    <w:rsid w:val="005F2DF6"/>
    <w:rsid w:val="006015C4"/>
    <w:rsid w:val="00603484"/>
    <w:rsid w:val="00610764"/>
    <w:rsid w:val="00613E0A"/>
    <w:rsid w:val="0061610D"/>
    <w:rsid w:val="0062107B"/>
    <w:rsid w:val="006228CB"/>
    <w:rsid w:val="00622B74"/>
    <w:rsid w:val="006250CB"/>
    <w:rsid w:val="00625D55"/>
    <w:rsid w:val="006345F9"/>
    <w:rsid w:val="0063475C"/>
    <w:rsid w:val="006359C7"/>
    <w:rsid w:val="006405E9"/>
    <w:rsid w:val="00657117"/>
    <w:rsid w:val="00660C89"/>
    <w:rsid w:val="006663F9"/>
    <w:rsid w:val="006720F6"/>
    <w:rsid w:val="00674211"/>
    <w:rsid w:val="006803D6"/>
    <w:rsid w:val="006806A4"/>
    <w:rsid w:val="00681C73"/>
    <w:rsid w:val="00686077"/>
    <w:rsid w:val="00687C76"/>
    <w:rsid w:val="00690185"/>
    <w:rsid w:val="00691DD9"/>
    <w:rsid w:val="0069264D"/>
    <w:rsid w:val="006938CD"/>
    <w:rsid w:val="00697870"/>
    <w:rsid w:val="00697E18"/>
    <w:rsid w:val="006A162D"/>
    <w:rsid w:val="006B2C07"/>
    <w:rsid w:val="006B3BC8"/>
    <w:rsid w:val="006B44C1"/>
    <w:rsid w:val="006C1D9C"/>
    <w:rsid w:val="006C2CDB"/>
    <w:rsid w:val="006C393D"/>
    <w:rsid w:val="006C62DC"/>
    <w:rsid w:val="006E059F"/>
    <w:rsid w:val="006E4E02"/>
    <w:rsid w:val="006E7703"/>
    <w:rsid w:val="006F2A35"/>
    <w:rsid w:val="006F42D0"/>
    <w:rsid w:val="006F537D"/>
    <w:rsid w:val="00703FAA"/>
    <w:rsid w:val="0070713A"/>
    <w:rsid w:val="00710746"/>
    <w:rsid w:val="00713785"/>
    <w:rsid w:val="007272FE"/>
    <w:rsid w:val="007308C8"/>
    <w:rsid w:val="00740326"/>
    <w:rsid w:val="00747CB3"/>
    <w:rsid w:val="007522CC"/>
    <w:rsid w:val="00753265"/>
    <w:rsid w:val="00754459"/>
    <w:rsid w:val="00757A6A"/>
    <w:rsid w:val="007648CB"/>
    <w:rsid w:val="00775912"/>
    <w:rsid w:val="0079083F"/>
    <w:rsid w:val="007909CE"/>
    <w:rsid w:val="007952E2"/>
    <w:rsid w:val="0079546A"/>
    <w:rsid w:val="007A720B"/>
    <w:rsid w:val="007B04FD"/>
    <w:rsid w:val="007B198F"/>
    <w:rsid w:val="007B23F2"/>
    <w:rsid w:val="007B38E9"/>
    <w:rsid w:val="007B4EF9"/>
    <w:rsid w:val="007B7BE4"/>
    <w:rsid w:val="007C10E0"/>
    <w:rsid w:val="007C23DE"/>
    <w:rsid w:val="007C5024"/>
    <w:rsid w:val="007D628B"/>
    <w:rsid w:val="007D6A0E"/>
    <w:rsid w:val="007D6DA5"/>
    <w:rsid w:val="007D7B97"/>
    <w:rsid w:val="007E22EF"/>
    <w:rsid w:val="007F3269"/>
    <w:rsid w:val="007F36DF"/>
    <w:rsid w:val="007F574B"/>
    <w:rsid w:val="007F7F99"/>
    <w:rsid w:val="00800FD6"/>
    <w:rsid w:val="00804F16"/>
    <w:rsid w:val="00806E46"/>
    <w:rsid w:val="008070CB"/>
    <w:rsid w:val="00810458"/>
    <w:rsid w:val="008114B9"/>
    <w:rsid w:val="00812F90"/>
    <w:rsid w:val="00822ED5"/>
    <w:rsid w:val="008261C3"/>
    <w:rsid w:val="008268AB"/>
    <w:rsid w:val="00827761"/>
    <w:rsid w:val="0083295D"/>
    <w:rsid w:val="00836241"/>
    <w:rsid w:val="00837EA2"/>
    <w:rsid w:val="008427D5"/>
    <w:rsid w:val="00842A66"/>
    <w:rsid w:val="00842FE3"/>
    <w:rsid w:val="008440F3"/>
    <w:rsid w:val="008472A9"/>
    <w:rsid w:val="00847668"/>
    <w:rsid w:val="00850A87"/>
    <w:rsid w:val="0085183D"/>
    <w:rsid w:val="00851C77"/>
    <w:rsid w:val="00853748"/>
    <w:rsid w:val="00853CB6"/>
    <w:rsid w:val="00854A1C"/>
    <w:rsid w:val="00854FD9"/>
    <w:rsid w:val="00861612"/>
    <w:rsid w:val="0086297A"/>
    <w:rsid w:val="00862BFE"/>
    <w:rsid w:val="00863094"/>
    <w:rsid w:val="00864836"/>
    <w:rsid w:val="008660E2"/>
    <w:rsid w:val="008753C4"/>
    <w:rsid w:val="00881879"/>
    <w:rsid w:val="008847E4"/>
    <w:rsid w:val="008904B5"/>
    <w:rsid w:val="00890E90"/>
    <w:rsid w:val="0089106F"/>
    <w:rsid w:val="008925C0"/>
    <w:rsid w:val="0089422A"/>
    <w:rsid w:val="00894421"/>
    <w:rsid w:val="00896DF1"/>
    <w:rsid w:val="008A5BEC"/>
    <w:rsid w:val="008A6248"/>
    <w:rsid w:val="008B1FB5"/>
    <w:rsid w:val="008B6CC3"/>
    <w:rsid w:val="008B7625"/>
    <w:rsid w:val="008C1C09"/>
    <w:rsid w:val="008D11E0"/>
    <w:rsid w:val="008D28A3"/>
    <w:rsid w:val="008D3CE2"/>
    <w:rsid w:val="008D6D76"/>
    <w:rsid w:val="008E0BAD"/>
    <w:rsid w:val="008E358A"/>
    <w:rsid w:val="008E43B6"/>
    <w:rsid w:val="00905AC1"/>
    <w:rsid w:val="00906C98"/>
    <w:rsid w:val="0090773E"/>
    <w:rsid w:val="00912611"/>
    <w:rsid w:val="00914032"/>
    <w:rsid w:val="009144B1"/>
    <w:rsid w:val="0091451F"/>
    <w:rsid w:val="009149B1"/>
    <w:rsid w:val="009172C4"/>
    <w:rsid w:val="00921FC5"/>
    <w:rsid w:val="00925E22"/>
    <w:rsid w:val="00926640"/>
    <w:rsid w:val="00931694"/>
    <w:rsid w:val="00936872"/>
    <w:rsid w:val="00940B29"/>
    <w:rsid w:val="00943665"/>
    <w:rsid w:val="00944947"/>
    <w:rsid w:val="00945A01"/>
    <w:rsid w:val="00946138"/>
    <w:rsid w:val="009465CD"/>
    <w:rsid w:val="00951679"/>
    <w:rsid w:val="00955F01"/>
    <w:rsid w:val="009625E0"/>
    <w:rsid w:val="00964F64"/>
    <w:rsid w:val="00970C12"/>
    <w:rsid w:val="0097312E"/>
    <w:rsid w:val="0097616F"/>
    <w:rsid w:val="009813CC"/>
    <w:rsid w:val="009867C5"/>
    <w:rsid w:val="009870F4"/>
    <w:rsid w:val="0099239D"/>
    <w:rsid w:val="00993B6E"/>
    <w:rsid w:val="0099673C"/>
    <w:rsid w:val="00997C1D"/>
    <w:rsid w:val="009A4FF7"/>
    <w:rsid w:val="009A5462"/>
    <w:rsid w:val="009A6D44"/>
    <w:rsid w:val="009B5966"/>
    <w:rsid w:val="009B6F4C"/>
    <w:rsid w:val="009B7C31"/>
    <w:rsid w:val="009D24CA"/>
    <w:rsid w:val="009D2E8B"/>
    <w:rsid w:val="009D35ED"/>
    <w:rsid w:val="009D4538"/>
    <w:rsid w:val="009D609D"/>
    <w:rsid w:val="009E23D9"/>
    <w:rsid w:val="009F1E58"/>
    <w:rsid w:val="00A02A4D"/>
    <w:rsid w:val="00A05792"/>
    <w:rsid w:val="00A0775E"/>
    <w:rsid w:val="00A13EF0"/>
    <w:rsid w:val="00A22EF9"/>
    <w:rsid w:val="00A2556F"/>
    <w:rsid w:val="00A255E5"/>
    <w:rsid w:val="00A40A8F"/>
    <w:rsid w:val="00A40B82"/>
    <w:rsid w:val="00A44957"/>
    <w:rsid w:val="00A45DBA"/>
    <w:rsid w:val="00A546CF"/>
    <w:rsid w:val="00A5772B"/>
    <w:rsid w:val="00A66C30"/>
    <w:rsid w:val="00A670CA"/>
    <w:rsid w:val="00A74FD3"/>
    <w:rsid w:val="00A7667E"/>
    <w:rsid w:val="00A7694A"/>
    <w:rsid w:val="00A77390"/>
    <w:rsid w:val="00A81BBF"/>
    <w:rsid w:val="00A855F5"/>
    <w:rsid w:val="00A86ED7"/>
    <w:rsid w:val="00A876EE"/>
    <w:rsid w:val="00A90749"/>
    <w:rsid w:val="00A91906"/>
    <w:rsid w:val="00A9611D"/>
    <w:rsid w:val="00AA1136"/>
    <w:rsid w:val="00AA18EE"/>
    <w:rsid w:val="00AA4ADB"/>
    <w:rsid w:val="00AA507C"/>
    <w:rsid w:val="00AB0294"/>
    <w:rsid w:val="00AB5C03"/>
    <w:rsid w:val="00AB634B"/>
    <w:rsid w:val="00AB6770"/>
    <w:rsid w:val="00AC0234"/>
    <w:rsid w:val="00AC5691"/>
    <w:rsid w:val="00AD087B"/>
    <w:rsid w:val="00AD35F5"/>
    <w:rsid w:val="00AD7040"/>
    <w:rsid w:val="00AF55CA"/>
    <w:rsid w:val="00AF5F11"/>
    <w:rsid w:val="00AF69BB"/>
    <w:rsid w:val="00B00C8D"/>
    <w:rsid w:val="00B14200"/>
    <w:rsid w:val="00B154CC"/>
    <w:rsid w:val="00B2505A"/>
    <w:rsid w:val="00B308BD"/>
    <w:rsid w:val="00B349D4"/>
    <w:rsid w:val="00B4016D"/>
    <w:rsid w:val="00B41FDA"/>
    <w:rsid w:val="00B42195"/>
    <w:rsid w:val="00B46F60"/>
    <w:rsid w:val="00B4713B"/>
    <w:rsid w:val="00B5058E"/>
    <w:rsid w:val="00B51410"/>
    <w:rsid w:val="00B52663"/>
    <w:rsid w:val="00B57192"/>
    <w:rsid w:val="00B66B74"/>
    <w:rsid w:val="00B71FD6"/>
    <w:rsid w:val="00B7796C"/>
    <w:rsid w:val="00B81AEF"/>
    <w:rsid w:val="00B8610C"/>
    <w:rsid w:val="00B90BB0"/>
    <w:rsid w:val="00B934AB"/>
    <w:rsid w:val="00B953AC"/>
    <w:rsid w:val="00BA44FF"/>
    <w:rsid w:val="00BC15A3"/>
    <w:rsid w:val="00BC2664"/>
    <w:rsid w:val="00BC3861"/>
    <w:rsid w:val="00BC56D7"/>
    <w:rsid w:val="00BD1BD4"/>
    <w:rsid w:val="00BD401B"/>
    <w:rsid w:val="00BD5393"/>
    <w:rsid w:val="00BE1485"/>
    <w:rsid w:val="00BF0B32"/>
    <w:rsid w:val="00BF24B5"/>
    <w:rsid w:val="00C00ECD"/>
    <w:rsid w:val="00C0287A"/>
    <w:rsid w:val="00C03A0D"/>
    <w:rsid w:val="00C055FE"/>
    <w:rsid w:val="00C11651"/>
    <w:rsid w:val="00C148C0"/>
    <w:rsid w:val="00C2009E"/>
    <w:rsid w:val="00C24056"/>
    <w:rsid w:val="00C2513C"/>
    <w:rsid w:val="00C262B2"/>
    <w:rsid w:val="00C30C6A"/>
    <w:rsid w:val="00C35121"/>
    <w:rsid w:val="00C37271"/>
    <w:rsid w:val="00C374E4"/>
    <w:rsid w:val="00C37960"/>
    <w:rsid w:val="00C46413"/>
    <w:rsid w:val="00C47BA8"/>
    <w:rsid w:val="00C51574"/>
    <w:rsid w:val="00C555BE"/>
    <w:rsid w:val="00C556A9"/>
    <w:rsid w:val="00C5708F"/>
    <w:rsid w:val="00C6160A"/>
    <w:rsid w:val="00C62867"/>
    <w:rsid w:val="00C743E1"/>
    <w:rsid w:val="00C74D2A"/>
    <w:rsid w:val="00C7568F"/>
    <w:rsid w:val="00C767F4"/>
    <w:rsid w:val="00C81BA4"/>
    <w:rsid w:val="00C82DD3"/>
    <w:rsid w:val="00C84312"/>
    <w:rsid w:val="00C9086A"/>
    <w:rsid w:val="00C919BD"/>
    <w:rsid w:val="00CB1D51"/>
    <w:rsid w:val="00CB2B34"/>
    <w:rsid w:val="00CB2DCC"/>
    <w:rsid w:val="00CB4B12"/>
    <w:rsid w:val="00CB5802"/>
    <w:rsid w:val="00CB698A"/>
    <w:rsid w:val="00CB6F28"/>
    <w:rsid w:val="00CC3C8C"/>
    <w:rsid w:val="00CD0960"/>
    <w:rsid w:val="00CD0DE5"/>
    <w:rsid w:val="00CD263B"/>
    <w:rsid w:val="00CD6BF5"/>
    <w:rsid w:val="00CE02C9"/>
    <w:rsid w:val="00CE1713"/>
    <w:rsid w:val="00CE1B3B"/>
    <w:rsid w:val="00CE3920"/>
    <w:rsid w:val="00CF7355"/>
    <w:rsid w:val="00D02348"/>
    <w:rsid w:val="00D0289A"/>
    <w:rsid w:val="00D05885"/>
    <w:rsid w:val="00D20EDB"/>
    <w:rsid w:val="00D23D09"/>
    <w:rsid w:val="00D2780F"/>
    <w:rsid w:val="00D31672"/>
    <w:rsid w:val="00D317A0"/>
    <w:rsid w:val="00D3489D"/>
    <w:rsid w:val="00D35BA7"/>
    <w:rsid w:val="00D36FF9"/>
    <w:rsid w:val="00D428FB"/>
    <w:rsid w:val="00D51500"/>
    <w:rsid w:val="00D5162B"/>
    <w:rsid w:val="00D5218C"/>
    <w:rsid w:val="00D52238"/>
    <w:rsid w:val="00D53893"/>
    <w:rsid w:val="00D54313"/>
    <w:rsid w:val="00D56495"/>
    <w:rsid w:val="00D6299B"/>
    <w:rsid w:val="00D62A4C"/>
    <w:rsid w:val="00D65A19"/>
    <w:rsid w:val="00D66EA8"/>
    <w:rsid w:val="00D71B7F"/>
    <w:rsid w:val="00D71DE5"/>
    <w:rsid w:val="00D73624"/>
    <w:rsid w:val="00D739BA"/>
    <w:rsid w:val="00D754CB"/>
    <w:rsid w:val="00D829A6"/>
    <w:rsid w:val="00D838A6"/>
    <w:rsid w:val="00D841A0"/>
    <w:rsid w:val="00D84676"/>
    <w:rsid w:val="00D87015"/>
    <w:rsid w:val="00D91779"/>
    <w:rsid w:val="00DA3A71"/>
    <w:rsid w:val="00DA4E60"/>
    <w:rsid w:val="00DB0756"/>
    <w:rsid w:val="00DB1F0B"/>
    <w:rsid w:val="00DC462A"/>
    <w:rsid w:val="00DC4BA1"/>
    <w:rsid w:val="00DD4399"/>
    <w:rsid w:val="00DE3126"/>
    <w:rsid w:val="00DE330A"/>
    <w:rsid w:val="00DE344D"/>
    <w:rsid w:val="00DE62B1"/>
    <w:rsid w:val="00DF05A9"/>
    <w:rsid w:val="00DF318D"/>
    <w:rsid w:val="00DF3DCE"/>
    <w:rsid w:val="00E00423"/>
    <w:rsid w:val="00E03FAF"/>
    <w:rsid w:val="00E13D3A"/>
    <w:rsid w:val="00E158FC"/>
    <w:rsid w:val="00E21F2B"/>
    <w:rsid w:val="00E24F32"/>
    <w:rsid w:val="00E274D4"/>
    <w:rsid w:val="00E33B13"/>
    <w:rsid w:val="00E33B8E"/>
    <w:rsid w:val="00E36390"/>
    <w:rsid w:val="00E37955"/>
    <w:rsid w:val="00E43D94"/>
    <w:rsid w:val="00E4467B"/>
    <w:rsid w:val="00E61EA6"/>
    <w:rsid w:val="00E62949"/>
    <w:rsid w:val="00E64A69"/>
    <w:rsid w:val="00E65825"/>
    <w:rsid w:val="00E66D71"/>
    <w:rsid w:val="00E70C3C"/>
    <w:rsid w:val="00E744F6"/>
    <w:rsid w:val="00E813B5"/>
    <w:rsid w:val="00E820E0"/>
    <w:rsid w:val="00E83D7E"/>
    <w:rsid w:val="00E8452E"/>
    <w:rsid w:val="00E90AEB"/>
    <w:rsid w:val="00E92E9E"/>
    <w:rsid w:val="00E932BA"/>
    <w:rsid w:val="00E95920"/>
    <w:rsid w:val="00EA10F1"/>
    <w:rsid w:val="00EA6C3B"/>
    <w:rsid w:val="00EB1479"/>
    <w:rsid w:val="00EB1CFD"/>
    <w:rsid w:val="00EB574B"/>
    <w:rsid w:val="00ED1336"/>
    <w:rsid w:val="00ED2950"/>
    <w:rsid w:val="00ED3028"/>
    <w:rsid w:val="00ED3122"/>
    <w:rsid w:val="00ED4793"/>
    <w:rsid w:val="00ED4E81"/>
    <w:rsid w:val="00ED7D1B"/>
    <w:rsid w:val="00EE1D98"/>
    <w:rsid w:val="00EE4741"/>
    <w:rsid w:val="00EF5A09"/>
    <w:rsid w:val="00EF6281"/>
    <w:rsid w:val="00EF628C"/>
    <w:rsid w:val="00F003FB"/>
    <w:rsid w:val="00F03E01"/>
    <w:rsid w:val="00F042C0"/>
    <w:rsid w:val="00F11536"/>
    <w:rsid w:val="00F17002"/>
    <w:rsid w:val="00F21D63"/>
    <w:rsid w:val="00F25A52"/>
    <w:rsid w:val="00F30E6E"/>
    <w:rsid w:val="00F31F1D"/>
    <w:rsid w:val="00F326CF"/>
    <w:rsid w:val="00F34DC2"/>
    <w:rsid w:val="00F50832"/>
    <w:rsid w:val="00F52CA1"/>
    <w:rsid w:val="00F54FCD"/>
    <w:rsid w:val="00F57065"/>
    <w:rsid w:val="00F603B4"/>
    <w:rsid w:val="00F619D4"/>
    <w:rsid w:val="00F70843"/>
    <w:rsid w:val="00F718E7"/>
    <w:rsid w:val="00F726FA"/>
    <w:rsid w:val="00F828F1"/>
    <w:rsid w:val="00F84F1C"/>
    <w:rsid w:val="00F9338F"/>
    <w:rsid w:val="00F934C1"/>
    <w:rsid w:val="00FA1860"/>
    <w:rsid w:val="00FA474A"/>
    <w:rsid w:val="00FB1CED"/>
    <w:rsid w:val="00FB4493"/>
    <w:rsid w:val="00FB4F29"/>
    <w:rsid w:val="00FC6EB9"/>
    <w:rsid w:val="00FD0CE9"/>
    <w:rsid w:val="00FD0F10"/>
    <w:rsid w:val="00FD2E65"/>
    <w:rsid w:val="00FD3A32"/>
    <w:rsid w:val="00FD78E1"/>
    <w:rsid w:val="00FE1545"/>
    <w:rsid w:val="00FE405E"/>
    <w:rsid w:val="00FE5467"/>
    <w:rsid w:val="00FE7FFB"/>
    <w:rsid w:val="00FF0DDD"/>
    <w:rsid w:val="00FF3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9E38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2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
    <w:basedOn w:val="Normal"/>
    <w:link w:val="FootnoteTextChar"/>
    <w:unhideWhenUsed/>
    <w:rsid w:val="00F17002"/>
  </w:style>
  <w:style w:type="character" w:customStyle="1" w:styleId="FootnoteTextChar">
    <w:name w:val="Footnote Text Char"/>
    <w:aliases w:val="fußn Char"/>
    <w:basedOn w:val="DefaultParagraphFont"/>
    <w:link w:val="FootnoteText"/>
    <w:rsid w:val="00F17002"/>
  </w:style>
  <w:style w:type="character" w:styleId="FootnoteReference">
    <w:name w:val="footnote reference"/>
    <w:basedOn w:val="DefaultParagraphFont"/>
    <w:unhideWhenUsed/>
    <w:rsid w:val="00F17002"/>
    <w:rPr>
      <w:vertAlign w:val="superscript"/>
    </w:rPr>
  </w:style>
  <w:style w:type="paragraph" w:styleId="Footer">
    <w:name w:val="footer"/>
    <w:basedOn w:val="Normal"/>
    <w:link w:val="FooterChar"/>
    <w:uiPriority w:val="99"/>
    <w:unhideWhenUsed/>
    <w:rsid w:val="00204302"/>
    <w:pPr>
      <w:tabs>
        <w:tab w:val="center" w:pos="4513"/>
        <w:tab w:val="right" w:pos="9026"/>
      </w:tabs>
    </w:pPr>
  </w:style>
  <w:style w:type="character" w:customStyle="1" w:styleId="FooterChar">
    <w:name w:val="Footer Char"/>
    <w:basedOn w:val="DefaultParagraphFont"/>
    <w:link w:val="Footer"/>
    <w:uiPriority w:val="99"/>
    <w:rsid w:val="00204302"/>
  </w:style>
  <w:style w:type="character" w:styleId="PageNumber">
    <w:name w:val="page number"/>
    <w:basedOn w:val="DefaultParagraphFont"/>
    <w:uiPriority w:val="99"/>
    <w:semiHidden/>
    <w:unhideWhenUsed/>
    <w:rsid w:val="00204302"/>
  </w:style>
  <w:style w:type="paragraph" w:styleId="PlainText">
    <w:name w:val="Plain Text"/>
    <w:basedOn w:val="Normal"/>
    <w:link w:val="PlainTextChar"/>
    <w:rsid w:val="00F52CA1"/>
    <w:pPr>
      <w:widowControl w:val="0"/>
      <w:jc w:val="both"/>
    </w:pPr>
    <w:rPr>
      <w:rFonts w:ascii="宋体" w:eastAsia="宋体" w:hAnsi="Courier New" w:cs="Times New Roman"/>
      <w:kern w:val="2"/>
      <w:sz w:val="21"/>
      <w:szCs w:val="20"/>
      <w:lang w:val="x-none" w:eastAsia="x-none"/>
    </w:rPr>
  </w:style>
  <w:style w:type="character" w:customStyle="1" w:styleId="PlainTextChar">
    <w:name w:val="Plain Text Char"/>
    <w:basedOn w:val="DefaultParagraphFont"/>
    <w:link w:val="PlainText"/>
    <w:rsid w:val="00F52CA1"/>
    <w:rPr>
      <w:rFonts w:ascii="宋体" w:eastAsia="宋体" w:hAnsi="Courier New" w:cs="Times New Roman"/>
      <w:kern w:val="2"/>
      <w:sz w:val="21"/>
      <w:szCs w:val="20"/>
      <w:lang w:val="x-none" w:eastAsia="x-none"/>
    </w:rPr>
  </w:style>
  <w:style w:type="character" w:styleId="Hyperlink">
    <w:name w:val="Hyperlink"/>
    <w:basedOn w:val="DefaultParagraphFont"/>
    <w:uiPriority w:val="99"/>
    <w:unhideWhenUsed/>
    <w:rsid w:val="002A10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tymonline.com/index.php?term=perspective&amp;allowed_in_fram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6636</Words>
  <Characters>37827</Characters>
  <Application>Microsoft Macintosh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Davies</dc:creator>
  <cp:keywords/>
  <dc:description/>
  <cp:lastModifiedBy>Oliver Davies</cp:lastModifiedBy>
  <cp:revision>2</cp:revision>
  <dcterms:created xsi:type="dcterms:W3CDTF">2017-06-01T08:48:00Z</dcterms:created>
  <dcterms:modified xsi:type="dcterms:W3CDTF">2017-06-01T08:48:00Z</dcterms:modified>
</cp:coreProperties>
</file>